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C5" w:rsidRDefault="00A421C5" w:rsidP="00A421C5">
      <w:pPr>
        <w:spacing w:after="120"/>
        <w:jc w:val="center"/>
        <w:rPr>
          <w:b/>
          <w:sz w:val="32"/>
          <w:szCs w:val="32"/>
          <w:lang w:val="en-GB"/>
        </w:rPr>
      </w:pPr>
      <w:r>
        <w:rPr>
          <w:b/>
          <w:sz w:val="32"/>
          <w:szCs w:val="32"/>
          <w:lang w:val="en-GB"/>
        </w:rPr>
        <w:t>Mathematical Reasoning at KS3 National Collaborative Project</w:t>
      </w:r>
    </w:p>
    <w:p w:rsidR="00E9475C" w:rsidRPr="00E9475C" w:rsidRDefault="00551C73" w:rsidP="00043E7F">
      <w:pPr>
        <w:jc w:val="center"/>
        <w:rPr>
          <w:b/>
          <w:sz w:val="32"/>
          <w:szCs w:val="32"/>
          <w:lang w:val="en-GB"/>
        </w:rPr>
      </w:pPr>
      <w:r>
        <w:rPr>
          <w:b/>
          <w:sz w:val="32"/>
          <w:szCs w:val="32"/>
          <w:lang w:val="en-GB"/>
        </w:rPr>
        <w:t xml:space="preserve">Cohort </w:t>
      </w:r>
      <w:r w:rsidR="00C41F82">
        <w:rPr>
          <w:b/>
          <w:sz w:val="32"/>
          <w:szCs w:val="32"/>
          <w:lang w:val="en-GB"/>
        </w:rPr>
        <w:t xml:space="preserve">2 (2016-17) – </w:t>
      </w:r>
      <w:r w:rsidR="00A421C5">
        <w:rPr>
          <w:b/>
          <w:sz w:val="32"/>
          <w:szCs w:val="32"/>
          <w:lang w:val="en-GB"/>
        </w:rPr>
        <w:t>Informa</w:t>
      </w:r>
      <w:r w:rsidR="00C41F82">
        <w:rPr>
          <w:b/>
          <w:sz w:val="32"/>
          <w:szCs w:val="32"/>
          <w:lang w:val="en-GB"/>
        </w:rPr>
        <w:t>tion and Expression of Interest</w:t>
      </w:r>
    </w:p>
    <w:p w:rsidR="00A421C5" w:rsidRDefault="00A421C5">
      <w:pPr>
        <w:rPr>
          <w:szCs w:val="28"/>
          <w:lang w:val="en-GB"/>
        </w:rPr>
      </w:pPr>
    </w:p>
    <w:p w:rsidR="001964C1" w:rsidRDefault="001964C1">
      <w:pPr>
        <w:rPr>
          <w:szCs w:val="28"/>
          <w:lang w:val="en-GB"/>
        </w:rPr>
      </w:pPr>
      <w:r>
        <w:rPr>
          <w:szCs w:val="28"/>
          <w:lang w:val="en-GB"/>
        </w:rPr>
        <w:t>All Maths Hubs are currently recruiting schools to take part in the second year of the Maths Hubs National Collaborative Project on supporting mathematical reasoning at Key Stage 3 (KS3). This document provides details of the project and how to apply.</w:t>
      </w:r>
    </w:p>
    <w:p w:rsidR="00954B87" w:rsidRDefault="00954B87">
      <w:pPr>
        <w:rPr>
          <w:szCs w:val="28"/>
          <w:lang w:val="en-GB"/>
        </w:rPr>
      </w:pPr>
    </w:p>
    <w:p w:rsidR="00D51113" w:rsidRPr="00EB6083" w:rsidRDefault="00D51113" w:rsidP="00D51113">
      <w:pPr>
        <w:spacing w:after="240"/>
        <w:rPr>
          <w:rFonts w:cs="Times"/>
          <w:b/>
          <w:lang w:val="en-GB"/>
        </w:rPr>
      </w:pPr>
      <w:r>
        <w:rPr>
          <w:rFonts w:cs="Times"/>
          <w:b/>
          <w:lang w:val="en-GB"/>
        </w:rPr>
        <w:t>Background</w:t>
      </w:r>
    </w:p>
    <w:p w:rsidR="00D51113" w:rsidRDefault="001964C1" w:rsidP="00D51113">
      <w:pPr>
        <w:spacing w:after="240"/>
        <w:rPr>
          <w:rFonts w:cs="Arial"/>
        </w:rPr>
      </w:pPr>
      <w:r w:rsidRPr="001964C1">
        <w:rPr>
          <w:rFonts w:cs="Arial"/>
        </w:rPr>
        <w:t>Developing mathematical reasoning</w:t>
      </w:r>
      <w:r>
        <w:rPr>
          <w:rFonts w:cs="Arial"/>
        </w:rPr>
        <w:t xml:space="preserve"> is one of the key aims of </w:t>
      </w:r>
      <w:r w:rsidR="00494561">
        <w:rPr>
          <w:rFonts w:cs="Arial"/>
        </w:rPr>
        <w:t xml:space="preserve">both </w:t>
      </w:r>
      <w:r>
        <w:rPr>
          <w:rFonts w:cs="Arial"/>
        </w:rPr>
        <w:t>the new National Curriculum and the new GCSE</w:t>
      </w:r>
      <w:r w:rsidR="00494561">
        <w:rPr>
          <w:rFonts w:cs="Arial"/>
        </w:rPr>
        <w:t>,</w:t>
      </w:r>
      <w:r>
        <w:rPr>
          <w:rFonts w:cs="Arial"/>
        </w:rPr>
        <w:t xml:space="preserve"> and is currently a focus for the </w:t>
      </w:r>
      <w:r w:rsidR="00F106D6">
        <w:rPr>
          <w:rFonts w:cs="Arial"/>
        </w:rPr>
        <w:t xml:space="preserve">national </w:t>
      </w:r>
      <w:r>
        <w:rPr>
          <w:rFonts w:cs="Arial"/>
        </w:rPr>
        <w:t>Maths Hubs Network. It is essential that schools develop students who are able to think mathematically and solve problems in a range of contexts. Students need to be able to articulate their reasoning in order to deepen their understanding of the mathematics and develop solutions to problems.</w:t>
      </w:r>
    </w:p>
    <w:p w:rsidR="001964C1" w:rsidRDefault="001964C1" w:rsidP="00D51113">
      <w:pPr>
        <w:spacing w:after="240"/>
        <w:rPr>
          <w:rFonts w:cs="Arial"/>
        </w:rPr>
      </w:pPr>
      <w:r>
        <w:rPr>
          <w:rFonts w:cs="Arial"/>
        </w:rPr>
        <w:t>In 2013-14, the NCETM led a successful pilot project that examined multiplicative reasoning at KS3.</w:t>
      </w:r>
      <w:r w:rsidR="009B253A">
        <w:rPr>
          <w:rFonts w:cs="Arial"/>
        </w:rPr>
        <w:t xml:space="preserve"> The professional development model used was commended by the external evaluators. In 2015-16, the Maths Hubs Network built upon this project by establishing a National Collaborative Project to support schools that wanted to develop their approaches to supporting mathematical reasoning across their KS3 teaching. </w:t>
      </w:r>
      <w:r w:rsidR="00F97C2C">
        <w:rPr>
          <w:rFonts w:cs="Arial"/>
        </w:rPr>
        <w:t>The first</w:t>
      </w:r>
      <w:r w:rsidR="009B253A">
        <w:rPr>
          <w:rFonts w:cs="Arial"/>
        </w:rPr>
        <w:t xml:space="preserve"> cohort of over </w:t>
      </w:r>
      <w:r w:rsidR="009B253A" w:rsidRPr="000A75AD">
        <w:rPr>
          <w:rFonts w:cs="Arial"/>
        </w:rPr>
        <w:t>180</w:t>
      </w:r>
      <w:r w:rsidR="009B253A">
        <w:rPr>
          <w:rFonts w:cs="Arial"/>
        </w:rPr>
        <w:t xml:space="preserve"> schools across the 35 Maths Hubs took part in Work Groups and because of the positive impact of the first </w:t>
      </w:r>
      <w:proofErr w:type="gramStart"/>
      <w:r w:rsidR="009B253A">
        <w:rPr>
          <w:rFonts w:cs="Arial"/>
        </w:rPr>
        <w:t>year,</w:t>
      </w:r>
      <w:proofErr w:type="gramEnd"/>
      <w:r w:rsidR="009B253A">
        <w:rPr>
          <w:rFonts w:cs="Arial"/>
        </w:rPr>
        <w:t xml:space="preserve"> many </w:t>
      </w:r>
      <w:r w:rsidR="00494561">
        <w:rPr>
          <w:rFonts w:cs="Arial"/>
        </w:rPr>
        <w:t xml:space="preserve">of these </w:t>
      </w:r>
      <w:r w:rsidR="009B253A">
        <w:rPr>
          <w:rFonts w:cs="Arial"/>
        </w:rPr>
        <w:t>schools are continuing to work together for a second year as they embed approaches.</w:t>
      </w:r>
    </w:p>
    <w:p w:rsidR="009B253A" w:rsidRPr="00EB6083" w:rsidRDefault="009B253A" w:rsidP="00D51113">
      <w:pPr>
        <w:spacing w:after="240"/>
        <w:rPr>
          <w:rFonts w:cs="Times"/>
          <w:lang w:val="en-GB"/>
        </w:rPr>
      </w:pPr>
      <w:r>
        <w:rPr>
          <w:rFonts w:cs="Arial"/>
        </w:rPr>
        <w:t>Maths Hubs are now keen to widen the opportunity for more schools to participate in the project and so are establishing Work Groups for a second cohort of schools.</w:t>
      </w:r>
    </w:p>
    <w:p w:rsidR="00D51113" w:rsidRDefault="00A531D5" w:rsidP="00D51113">
      <w:pPr>
        <w:spacing w:after="240"/>
        <w:rPr>
          <w:rFonts w:cs="Times"/>
          <w:b/>
          <w:lang w:val="en-GB"/>
        </w:rPr>
      </w:pPr>
      <w:r>
        <w:rPr>
          <w:rFonts w:cs="Times"/>
          <w:b/>
          <w:lang w:val="en-GB"/>
        </w:rPr>
        <w:t>What does the</w:t>
      </w:r>
      <w:r w:rsidR="00D51113">
        <w:rPr>
          <w:rFonts w:cs="Times"/>
          <w:b/>
          <w:lang w:val="en-GB"/>
        </w:rPr>
        <w:t xml:space="preserve"> </w:t>
      </w:r>
      <w:r w:rsidR="001964C1">
        <w:rPr>
          <w:rFonts w:cs="Times"/>
          <w:b/>
          <w:lang w:val="en-GB"/>
        </w:rPr>
        <w:t>project</w:t>
      </w:r>
      <w:r>
        <w:rPr>
          <w:rFonts w:cs="Times"/>
          <w:b/>
          <w:lang w:val="en-GB"/>
        </w:rPr>
        <w:t xml:space="preserve"> involve?</w:t>
      </w:r>
    </w:p>
    <w:p w:rsidR="00B1787D" w:rsidRDefault="00610D25" w:rsidP="00A531D5">
      <w:pPr>
        <w:spacing w:after="240"/>
        <w:rPr>
          <w:rFonts w:cs="Arial"/>
        </w:rPr>
      </w:pPr>
      <w:r>
        <w:rPr>
          <w:rFonts w:cs="Times"/>
          <w:lang w:val="en-GB"/>
        </w:rPr>
        <w:t>Each Mat</w:t>
      </w:r>
      <w:r w:rsidR="00B1787D">
        <w:rPr>
          <w:rFonts w:cs="Times"/>
          <w:lang w:val="en-GB"/>
        </w:rPr>
        <w:t xml:space="preserve">hs Hub establishes a Work Group, </w:t>
      </w:r>
      <w:r>
        <w:rPr>
          <w:rFonts w:cs="Times"/>
          <w:lang w:val="en-GB"/>
        </w:rPr>
        <w:t>normally involving 5-8 schools</w:t>
      </w:r>
      <w:r w:rsidR="00F106D6">
        <w:rPr>
          <w:rFonts w:cs="Times"/>
          <w:lang w:val="en-GB"/>
        </w:rPr>
        <w:t>.</w:t>
      </w:r>
      <w:r>
        <w:rPr>
          <w:rFonts w:cs="Times"/>
          <w:lang w:val="en-GB"/>
        </w:rPr>
        <w:t xml:space="preserve"> </w:t>
      </w:r>
      <w:r w:rsidR="00F106D6">
        <w:rPr>
          <w:rFonts w:cs="Arial"/>
        </w:rPr>
        <w:t>A key feature of the leadership of each hub Work Group is the HEI partner bringing research expertise into the learning of mathematics and teacher professional development alongside that of a PD lead.</w:t>
      </w:r>
      <w:r>
        <w:rPr>
          <w:rFonts w:cs="Times"/>
          <w:lang w:val="en-GB"/>
        </w:rPr>
        <w:t xml:space="preserve"> The Work Group uses the </w:t>
      </w:r>
      <w:r w:rsidRPr="00610D25">
        <w:rPr>
          <w:rFonts w:cs="Times"/>
          <w:i/>
          <w:lang w:val="en-GB"/>
        </w:rPr>
        <w:t>TIME</w:t>
      </w:r>
      <w:r>
        <w:rPr>
          <w:rFonts w:cs="Times"/>
          <w:lang w:val="en-GB"/>
        </w:rPr>
        <w:t xml:space="preserve"> </w:t>
      </w:r>
      <w:r w:rsidRPr="00421E7C">
        <w:rPr>
          <w:rFonts w:cs="Arial"/>
          <w:i/>
        </w:rPr>
        <w:t xml:space="preserve">(teachers improving maths education) </w:t>
      </w:r>
      <w:r>
        <w:rPr>
          <w:rFonts w:cs="Arial"/>
          <w:i/>
        </w:rPr>
        <w:t xml:space="preserve">team </w:t>
      </w:r>
      <w:r>
        <w:rPr>
          <w:rFonts w:cs="Arial"/>
        </w:rPr>
        <w:t>professional development model which combines workshop and department</w:t>
      </w:r>
      <w:r w:rsidR="00B1787D">
        <w:rPr>
          <w:rFonts w:cs="Arial"/>
        </w:rPr>
        <w:t xml:space="preserve">al </w:t>
      </w:r>
      <w:r>
        <w:rPr>
          <w:rFonts w:cs="Arial"/>
        </w:rPr>
        <w:t>activities</w:t>
      </w:r>
      <w:r w:rsidR="00F106D6">
        <w:rPr>
          <w:rFonts w:cs="Arial"/>
        </w:rPr>
        <w:t>.</w:t>
      </w:r>
    </w:p>
    <w:p w:rsidR="00D51113" w:rsidRPr="00A531D5" w:rsidRDefault="00610D25" w:rsidP="00A531D5">
      <w:pPr>
        <w:spacing w:after="240"/>
        <w:rPr>
          <w:rFonts w:cs="Times"/>
          <w:lang w:val="en-GB"/>
        </w:rPr>
      </w:pPr>
      <w:r>
        <w:rPr>
          <w:rFonts w:cs="Times"/>
          <w:lang w:val="en-GB"/>
        </w:rPr>
        <w:t xml:space="preserve">Each school nominates two lead teachers to </w:t>
      </w:r>
      <w:r w:rsidR="00F106D6">
        <w:rPr>
          <w:rFonts w:cs="Times"/>
          <w:lang w:val="en-GB"/>
        </w:rPr>
        <w:t>work with</w:t>
      </w:r>
      <w:r>
        <w:rPr>
          <w:rFonts w:cs="Times"/>
          <w:lang w:val="en-GB"/>
        </w:rPr>
        <w:t xml:space="preserve"> </w:t>
      </w:r>
      <w:r w:rsidR="00F106D6">
        <w:rPr>
          <w:rFonts w:cs="Times"/>
          <w:lang w:val="en-GB"/>
        </w:rPr>
        <w:t xml:space="preserve">teachers from the other schools </w:t>
      </w:r>
      <w:r>
        <w:rPr>
          <w:rFonts w:cs="Times"/>
          <w:lang w:val="en-GB"/>
        </w:rPr>
        <w:t xml:space="preserve">in </w:t>
      </w:r>
      <w:r w:rsidR="00B1787D">
        <w:rPr>
          <w:rFonts w:cs="Times"/>
          <w:lang w:val="en-GB"/>
        </w:rPr>
        <w:t>four workshop sessions</w:t>
      </w:r>
      <w:r w:rsidR="00F106D6">
        <w:rPr>
          <w:rFonts w:cs="Times"/>
          <w:lang w:val="en-GB"/>
        </w:rPr>
        <w:t xml:space="preserve"> during the school year</w:t>
      </w:r>
      <w:r w:rsidR="00B1787D">
        <w:rPr>
          <w:rFonts w:cs="Times"/>
          <w:lang w:val="en-GB"/>
        </w:rPr>
        <w:t xml:space="preserve">. </w:t>
      </w:r>
      <w:r w:rsidR="00B1787D">
        <w:rPr>
          <w:rFonts w:cs="Arial"/>
        </w:rPr>
        <w:t xml:space="preserve">The workshops will offer a small selection of reasoning tasks as the focus of the professional development. In between the workshops, the lead teachers </w:t>
      </w:r>
      <w:r w:rsidR="00F106D6">
        <w:rPr>
          <w:rFonts w:cs="Arial"/>
        </w:rPr>
        <w:t xml:space="preserve">then </w:t>
      </w:r>
      <w:r w:rsidR="00B1787D">
        <w:rPr>
          <w:rFonts w:cs="Arial"/>
        </w:rPr>
        <w:t xml:space="preserve">work with their departments to </w:t>
      </w:r>
      <w:r w:rsidR="00F106D6">
        <w:rPr>
          <w:rFonts w:cs="Arial"/>
        </w:rPr>
        <w:t xml:space="preserve">test and </w:t>
      </w:r>
      <w:r w:rsidR="00B1787D">
        <w:rPr>
          <w:rFonts w:cs="Arial"/>
        </w:rPr>
        <w:t xml:space="preserve">evaluate the impact of </w:t>
      </w:r>
      <w:r w:rsidR="00F106D6">
        <w:rPr>
          <w:rFonts w:cs="Arial"/>
        </w:rPr>
        <w:t>the reasoning activities using a lesson study approach.</w:t>
      </w:r>
      <w:r w:rsidR="00B1787D">
        <w:rPr>
          <w:rFonts w:cs="Arial"/>
        </w:rPr>
        <w:t xml:space="preserve"> </w:t>
      </w:r>
      <w:r w:rsidR="00F106D6">
        <w:rPr>
          <w:rFonts w:cs="Arial"/>
        </w:rPr>
        <w:t>As the cycle of workshops and departmental work continues, each department</w:t>
      </w:r>
      <w:r w:rsidR="00B1787D">
        <w:rPr>
          <w:rFonts w:cs="Arial"/>
        </w:rPr>
        <w:t xml:space="preserve"> identif</w:t>
      </w:r>
      <w:r w:rsidR="00F106D6">
        <w:rPr>
          <w:rFonts w:cs="Arial"/>
        </w:rPr>
        <w:t>ies</w:t>
      </w:r>
      <w:r w:rsidR="00B1787D">
        <w:rPr>
          <w:rFonts w:cs="Arial"/>
        </w:rPr>
        <w:t xml:space="preserve"> the approaches that </w:t>
      </w:r>
      <w:r w:rsidR="00F106D6">
        <w:rPr>
          <w:rFonts w:cs="Arial"/>
        </w:rPr>
        <w:t>they wish to embed as part of their ongoing practice</w:t>
      </w:r>
      <w:r w:rsidR="00B1787D">
        <w:rPr>
          <w:rFonts w:cs="Arial"/>
        </w:rPr>
        <w:t xml:space="preserve">. </w:t>
      </w:r>
    </w:p>
    <w:p w:rsidR="00D51113" w:rsidRDefault="00CC2C21" w:rsidP="00D51113">
      <w:pPr>
        <w:spacing w:after="240"/>
        <w:rPr>
          <w:rFonts w:cs="Times"/>
          <w:b/>
          <w:lang w:val="en-GB"/>
        </w:rPr>
      </w:pPr>
      <w:r>
        <w:rPr>
          <w:rFonts w:cs="Times"/>
          <w:b/>
          <w:lang w:val="en-GB"/>
        </w:rPr>
        <w:t>What are the b</w:t>
      </w:r>
      <w:r w:rsidR="00D51113">
        <w:rPr>
          <w:rFonts w:cs="Times"/>
          <w:b/>
          <w:lang w:val="en-GB"/>
        </w:rPr>
        <w:t>enefits for participating schools</w:t>
      </w:r>
      <w:r>
        <w:rPr>
          <w:rFonts w:cs="Times"/>
          <w:b/>
          <w:lang w:val="en-GB"/>
        </w:rPr>
        <w:t>?</w:t>
      </w:r>
    </w:p>
    <w:p w:rsidR="00D51113" w:rsidRDefault="00D51113" w:rsidP="00D51113">
      <w:pPr>
        <w:rPr>
          <w:rFonts w:cs="Times"/>
        </w:rPr>
      </w:pPr>
      <w:r>
        <w:rPr>
          <w:rFonts w:cs="Times"/>
        </w:rPr>
        <w:t xml:space="preserve">Participating in the Work Group </w:t>
      </w:r>
      <w:r w:rsidR="00F97C2C">
        <w:rPr>
          <w:rFonts w:cs="Times"/>
        </w:rPr>
        <w:t>is intended to</w:t>
      </w:r>
      <w:r>
        <w:rPr>
          <w:rFonts w:cs="Times"/>
        </w:rPr>
        <w:t xml:space="preserve"> provide the following benefits to participant schools:</w:t>
      </w:r>
    </w:p>
    <w:p w:rsidR="00A531D5" w:rsidRPr="00482551" w:rsidRDefault="001E36FA" w:rsidP="00A531D5">
      <w:pPr>
        <w:pStyle w:val="ListParagraph"/>
        <w:numPr>
          <w:ilvl w:val="0"/>
          <w:numId w:val="10"/>
        </w:numPr>
        <w:rPr>
          <w:szCs w:val="28"/>
          <w:lang w:val="en-GB"/>
        </w:rPr>
      </w:pPr>
      <w:r>
        <w:rPr>
          <w:szCs w:val="28"/>
          <w:lang w:val="en-GB"/>
        </w:rPr>
        <w:lastRenderedPageBreak/>
        <w:t xml:space="preserve">teachers </w:t>
      </w:r>
      <w:r w:rsidR="001753D3">
        <w:rPr>
          <w:szCs w:val="28"/>
          <w:lang w:val="en-GB"/>
        </w:rPr>
        <w:t xml:space="preserve">will </w:t>
      </w:r>
      <w:r w:rsidR="00A531D5" w:rsidRPr="00482551">
        <w:rPr>
          <w:szCs w:val="28"/>
          <w:lang w:val="en-GB"/>
        </w:rPr>
        <w:t xml:space="preserve">deepen </w:t>
      </w:r>
      <w:r>
        <w:rPr>
          <w:szCs w:val="28"/>
          <w:lang w:val="en-GB"/>
        </w:rPr>
        <w:t xml:space="preserve">their </w:t>
      </w:r>
      <w:r w:rsidR="00A531D5" w:rsidRPr="00482551">
        <w:rPr>
          <w:szCs w:val="28"/>
          <w:lang w:val="en-GB"/>
        </w:rPr>
        <w:t xml:space="preserve">understanding of </w:t>
      </w:r>
      <w:r w:rsidR="00A531D5">
        <w:rPr>
          <w:szCs w:val="28"/>
          <w:lang w:val="en-GB"/>
        </w:rPr>
        <w:t xml:space="preserve">the </w:t>
      </w:r>
      <w:r w:rsidR="00A531D5" w:rsidRPr="00482551">
        <w:rPr>
          <w:szCs w:val="28"/>
          <w:lang w:val="en-GB"/>
        </w:rPr>
        <w:t>subject knowledge and pedagogy related to the teaching and learning of mathematical reasoning</w:t>
      </w:r>
    </w:p>
    <w:p w:rsidR="00A531D5" w:rsidRPr="00482551" w:rsidRDefault="001E36FA" w:rsidP="00A531D5">
      <w:pPr>
        <w:pStyle w:val="ListParagraph"/>
        <w:numPr>
          <w:ilvl w:val="0"/>
          <w:numId w:val="10"/>
        </w:numPr>
        <w:rPr>
          <w:szCs w:val="28"/>
          <w:lang w:val="en-GB"/>
        </w:rPr>
      </w:pPr>
      <w:r>
        <w:rPr>
          <w:szCs w:val="28"/>
          <w:lang w:val="en-GB"/>
        </w:rPr>
        <w:t xml:space="preserve">teachers </w:t>
      </w:r>
      <w:r w:rsidR="001753D3">
        <w:rPr>
          <w:szCs w:val="28"/>
          <w:lang w:val="en-GB"/>
        </w:rPr>
        <w:t xml:space="preserve">will </w:t>
      </w:r>
      <w:r>
        <w:rPr>
          <w:szCs w:val="28"/>
          <w:lang w:val="en-GB"/>
        </w:rPr>
        <w:t>plan more effectively to address the reasoning component within all lessons drawing on a wider repertoire of appropriate activities</w:t>
      </w:r>
    </w:p>
    <w:p w:rsidR="00A531D5" w:rsidRPr="00482551" w:rsidRDefault="001E36FA" w:rsidP="00A531D5">
      <w:pPr>
        <w:pStyle w:val="ListParagraph"/>
        <w:numPr>
          <w:ilvl w:val="0"/>
          <w:numId w:val="10"/>
        </w:numPr>
        <w:rPr>
          <w:szCs w:val="28"/>
          <w:lang w:val="en-GB"/>
        </w:rPr>
      </w:pPr>
      <w:r>
        <w:rPr>
          <w:szCs w:val="28"/>
          <w:lang w:val="en-GB"/>
        </w:rPr>
        <w:t xml:space="preserve">the lead teachers </w:t>
      </w:r>
      <w:r w:rsidR="001753D3">
        <w:rPr>
          <w:szCs w:val="28"/>
          <w:lang w:val="en-GB"/>
        </w:rPr>
        <w:t xml:space="preserve">will </w:t>
      </w:r>
      <w:r>
        <w:rPr>
          <w:szCs w:val="28"/>
          <w:lang w:val="en-GB"/>
        </w:rPr>
        <w:t xml:space="preserve">develop their own PD leadership skills and the department </w:t>
      </w:r>
      <w:r w:rsidR="001753D3">
        <w:rPr>
          <w:szCs w:val="28"/>
          <w:lang w:val="en-GB"/>
        </w:rPr>
        <w:t xml:space="preserve">will </w:t>
      </w:r>
      <w:r>
        <w:rPr>
          <w:szCs w:val="28"/>
          <w:lang w:val="en-GB"/>
        </w:rPr>
        <w:t>establish effective PD models to support ongoing improvements</w:t>
      </w:r>
    </w:p>
    <w:p w:rsidR="00A531D5" w:rsidRDefault="001E36FA" w:rsidP="00A531D5">
      <w:pPr>
        <w:pStyle w:val="ListParagraph"/>
        <w:numPr>
          <w:ilvl w:val="0"/>
          <w:numId w:val="10"/>
        </w:numPr>
        <w:rPr>
          <w:szCs w:val="28"/>
          <w:lang w:val="en-GB"/>
        </w:rPr>
      </w:pPr>
      <w:r>
        <w:rPr>
          <w:szCs w:val="28"/>
          <w:lang w:val="en-GB"/>
        </w:rPr>
        <w:t xml:space="preserve">the department </w:t>
      </w:r>
      <w:r w:rsidR="001753D3">
        <w:rPr>
          <w:szCs w:val="28"/>
          <w:lang w:val="en-GB"/>
        </w:rPr>
        <w:t xml:space="preserve">will </w:t>
      </w:r>
      <w:r>
        <w:rPr>
          <w:szCs w:val="28"/>
          <w:lang w:val="en-GB"/>
        </w:rPr>
        <w:t>identif</w:t>
      </w:r>
      <w:r w:rsidR="001753D3">
        <w:rPr>
          <w:szCs w:val="28"/>
          <w:lang w:val="en-GB"/>
        </w:rPr>
        <w:t>y</w:t>
      </w:r>
      <w:r>
        <w:rPr>
          <w:szCs w:val="28"/>
          <w:lang w:val="en-GB"/>
        </w:rPr>
        <w:t xml:space="preserve"> resources and approaches that can be built into the schemes of work</w:t>
      </w:r>
    </w:p>
    <w:p w:rsidR="00D51113" w:rsidRPr="001E36FA" w:rsidRDefault="001E36FA" w:rsidP="00A531D5">
      <w:pPr>
        <w:pStyle w:val="ListParagraph"/>
        <w:numPr>
          <w:ilvl w:val="0"/>
          <w:numId w:val="10"/>
        </w:numPr>
        <w:spacing w:after="240"/>
        <w:rPr>
          <w:rFonts w:cs="Times"/>
        </w:rPr>
      </w:pPr>
      <w:r>
        <w:rPr>
          <w:rFonts w:cs="Times"/>
        </w:rPr>
        <w:t xml:space="preserve">pupils </w:t>
      </w:r>
      <w:r w:rsidR="001753D3">
        <w:rPr>
          <w:rFonts w:cs="Times"/>
        </w:rPr>
        <w:t xml:space="preserve">will </w:t>
      </w:r>
      <w:r>
        <w:rPr>
          <w:rFonts w:cs="Times"/>
        </w:rPr>
        <w:t xml:space="preserve">improve their confidence, fluency and logical precision when they engage in mathematical reasoning and </w:t>
      </w:r>
      <w:r w:rsidR="001753D3">
        <w:rPr>
          <w:rFonts w:cs="Times"/>
        </w:rPr>
        <w:t>appreciate more the centrality of reasoning when doing and learning mathematics</w:t>
      </w:r>
    </w:p>
    <w:p w:rsidR="00D51113" w:rsidRPr="002E6989" w:rsidRDefault="00D51113" w:rsidP="00D51113">
      <w:pPr>
        <w:spacing w:after="240"/>
        <w:rPr>
          <w:rFonts w:cs="Times"/>
          <w:b/>
          <w:lang w:val="en-GB"/>
        </w:rPr>
      </w:pPr>
      <w:r>
        <w:rPr>
          <w:rFonts w:cs="Times"/>
          <w:b/>
          <w:lang w:val="en-GB"/>
        </w:rPr>
        <w:t>Who can apply?</w:t>
      </w:r>
    </w:p>
    <w:p w:rsidR="00D51113" w:rsidRPr="00AC7112" w:rsidRDefault="00D51113" w:rsidP="00D51113">
      <w:pPr>
        <w:spacing w:after="240"/>
        <w:rPr>
          <w:rFonts w:cs="Times"/>
        </w:rPr>
      </w:pPr>
      <w:r>
        <w:rPr>
          <w:rFonts w:cs="Times"/>
        </w:rPr>
        <w:t xml:space="preserve">The Work Group is intended for schools with maths departments that are fully committed to developing mathematical reasoning at Key Stage 3. In particular, departments should be committed to and have the capacity for engaging fully in this development work during 2016-17. The nominated lead teachers should be </w:t>
      </w:r>
      <w:r w:rsidR="00610D25">
        <w:rPr>
          <w:rFonts w:cs="Times"/>
        </w:rPr>
        <w:t>experienced KS3 teachers who are keen to develop their own practice and to support their colleagues as well. They would be expected to work closely with</w:t>
      </w:r>
      <w:r>
        <w:rPr>
          <w:rFonts w:cs="Times"/>
        </w:rPr>
        <w:t xml:space="preserve"> the head of department</w:t>
      </w:r>
      <w:r w:rsidR="00610D25">
        <w:rPr>
          <w:rFonts w:cs="Times"/>
        </w:rPr>
        <w:t xml:space="preserve"> in leading change in the department</w:t>
      </w:r>
      <w:r>
        <w:rPr>
          <w:rFonts w:cs="Times"/>
        </w:rPr>
        <w:t xml:space="preserve">. </w:t>
      </w:r>
      <w:r w:rsidR="00610D25">
        <w:rPr>
          <w:rFonts w:cs="Times"/>
        </w:rPr>
        <w:t xml:space="preserve">(Note: </w:t>
      </w:r>
      <w:r>
        <w:rPr>
          <w:rFonts w:cs="Times"/>
        </w:rPr>
        <w:t>The head of department c</w:t>
      </w:r>
      <w:r w:rsidR="00610D25">
        <w:rPr>
          <w:rFonts w:cs="Times"/>
        </w:rPr>
        <w:t>ould</w:t>
      </w:r>
      <w:r>
        <w:rPr>
          <w:rFonts w:cs="Times"/>
        </w:rPr>
        <w:t xml:space="preserve"> be one of the nominated teachers.</w:t>
      </w:r>
      <w:r w:rsidR="00610D25">
        <w:rPr>
          <w:rFonts w:cs="Times"/>
        </w:rPr>
        <w:t>)</w:t>
      </w:r>
    </w:p>
    <w:p w:rsidR="00D51113" w:rsidRPr="00485B77" w:rsidRDefault="00CC2C21" w:rsidP="00D51113">
      <w:pPr>
        <w:spacing w:after="240"/>
        <w:rPr>
          <w:rFonts w:cs="Times"/>
          <w:lang w:val="en-GB"/>
        </w:rPr>
      </w:pPr>
      <w:r>
        <w:rPr>
          <w:rFonts w:cs="Times"/>
          <w:b/>
          <w:lang w:val="en-GB"/>
        </w:rPr>
        <w:t>What are the e</w:t>
      </w:r>
      <w:r w:rsidR="00D51113">
        <w:rPr>
          <w:rFonts w:cs="Times"/>
          <w:b/>
          <w:lang w:val="en-GB"/>
        </w:rPr>
        <w:t>xpectations of participating schools</w:t>
      </w:r>
      <w:r>
        <w:rPr>
          <w:rFonts w:cs="Times"/>
          <w:b/>
          <w:lang w:val="en-GB"/>
        </w:rPr>
        <w:t>?</w:t>
      </w:r>
    </w:p>
    <w:p w:rsidR="00D51113" w:rsidRDefault="00D51113" w:rsidP="00D51113">
      <w:pPr>
        <w:rPr>
          <w:lang w:val="en-GB"/>
        </w:rPr>
      </w:pPr>
      <w:r>
        <w:rPr>
          <w:lang w:val="en-GB"/>
        </w:rPr>
        <w:t>Schools chosen to participate in the Work Group commit to the following expectations:</w:t>
      </w:r>
    </w:p>
    <w:p w:rsidR="00A531D5" w:rsidRDefault="001753D3" w:rsidP="00A531D5">
      <w:pPr>
        <w:pStyle w:val="ListParagraph"/>
        <w:numPr>
          <w:ilvl w:val="0"/>
          <w:numId w:val="11"/>
        </w:numPr>
        <w:rPr>
          <w:szCs w:val="28"/>
          <w:lang w:val="en-GB"/>
        </w:rPr>
      </w:pPr>
      <w:r>
        <w:rPr>
          <w:szCs w:val="28"/>
          <w:lang w:val="en-GB"/>
        </w:rPr>
        <w:t>The two nominated lead teachers will participate fully in all the workshops</w:t>
      </w:r>
    </w:p>
    <w:p w:rsidR="00A531D5" w:rsidRDefault="001753D3" w:rsidP="00A531D5">
      <w:pPr>
        <w:pStyle w:val="ListParagraph"/>
        <w:numPr>
          <w:ilvl w:val="0"/>
          <w:numId w:val="11"/>
        </w:numPr>
        <w:rPr>
          <w:szCs w:val="28"/>
          <w:lang w:val="en-GB"/>
        </w:rPr>
      </w:pPr>
      <w:r>
        <w:rPr>
          <w:szCs w:val="28"/>
          <w:lang w:val="en-GB"/>
        </w:rPr>
        <w:t>The head of department working with the lead teachers will ensure that the department carries out the gap tasks between the workshops including departmental discussion, collaborative planning and lesson study</w:t>
      </w:r>
    </w:p>
    <w:p w:rsidR="00A531D5" w:rsidRPr="00F50401" w:rsidRDefault="001753D3" w:rsidP="00A531D5">
      <w:pPr>
        <w:pStyle w:val="ListParagraph"/>
        <w:numPr>
          <w:ilvl w:val="0"/>
          <w:numId w:val="11"/>
        </w:numPr>
        <w:rPr>
          <w:szCs w:val="28"/>
          <w:lang w:val="en-GB"/>
        </w:rPr>
      </w:pPr>
      <w:r>
        <w:rPr>
          <w:szCs w:val="28"/>
          <w:lang w:val="en-GB"/>
        </w:rPr>
        <w:t xml:space="preserve">The school senior leadership will support the departmental leadership in participating fully in the project and </w:t>
      </w:r>
      <w:r w:rsidR="00F97C2C">
        <w:rPr>
          <w:szCs w:val="28"/>
          <w:lang w:val="en-GB"/>
        </w:rPr>
        <w:t xml:space="preserve">in </w:t>
      </w:r>
      <w:r>
        <w:rPr>
          <w:szCs w:val="28"/>
          <w:lang w:val="en-GB"/>
        </w:rPr>
        <w:t>maximising the benefit to the department</w:t>
      </w:r>
    </w:p>
    <w:p w:rsidR="00D51113" w:rsidRPr="00D52281" w:rsidRDefault="00A531D5" w:rsidP="00A531D5">
      <w:pPr>
        <w:pStyle w:val="ListParagraph"/>
        <w:numPr>
          <w:ilvl w:val="0"/>
          <w:numId w:val="11"/>
        </w:numPr>
        <w:spacing w:after="240"/>
        <w:rPr>
          <w:lang w:val="en-GB"/>
        </w:rPr>
      </w:pPr>
      <w:r>
        <w:rPr>
          <w:lang w:val="en-GB"/>
        </w:rPr>
        <w:t>The project Work Group Lead and / or the HEI partner representative will be welcome to visit the school and observe mathematics lessons in which gap task activities are being used in the classroom.</w:t>
      </w:r>
    </w:p>
    <w:p w:rsidR="00D51113" w:rsidRDefault="00CC2C21" w:rsidP="00D51113">
      <w:pPr>
        <w:spacing w:after="240"/>
        <w:rPr>
          <w:b/>
          <w:lang w:val="en-GB"/>
        </w:rPr>
      </w:pPr>
      <w:r>
        <w:rPr>
          <w:b/>
          <w:lang w:val="en-GB"/>
        </w:rPr>
        <w:t>What is the f</w:t>
      </w:r>
      <w:r w:rsidR="00D51113">
        <w:rPr>
          <w:b/>
          <w:lang w:val="en-GB"/>
        </w:rPr>
        <w:t>unding</w:t>
      </w:r>
      <w:r>
        <w:rPr>
          <w:b/>
          <w:lang w:val="en-GB"/>
        </w:rPr>
        <w:t xml:space="preserve"> or </w:t>
      </w:r>
      <w:r w:rsidR="00D51113">
        <w:rPr>
          <w:b/>
          <w:lang w:val="en-GB"/>
        </w:rPr>
        <w:t>charging</w:t>
      </w:r>
      <w:r>
        <w:rPr>
          <w:b/>
          <w:lang w:val="en-GB"/>
        </w:rPr>
        <w:t xml:space="preserve"> for the Work Group?</w:t>
      </w:r>
    </w:p>
    <w:p w:rsidR="00D51113" w:rsidRPr="00A474D7" w:rsidRDefault="00D51113" w:rsidP="00D51113">
      <w:pPr>
        <w:spacing w:after="240"/>
        <w:rPr>
          <w:rFonts w:cs="Times"/>
          <w:lang w:val="en-GB"/>
        </w:rPr>
      </w:pPr>
      <w:r>
        <w:rPr>
          <w:rFonts w:cs="Times"/>
          <w:lang w:val="en-GB"/>
        </w:rPr>
        <w:t>There is no charge for schools that participate fully in the Work Group. The Maths Hub meets the cost of running the Work Group.</w:t>
      </w:r>
    </w:p>
    <w:p w:rsidR="00D51113" w:rsidRDefault="00D51113" w:rsidP="00D51113">
      <w:pPr>
        <w:spacing w:after="240"/>
        <w:rPr>
          <w:b/>
          <w:lang w:val="en-GB"/>
        </w:rPr>
      </w:pPr>
      <w:r>
        <w:rPr>
          <w:b/>
          <w:lang w:val="en-GB"/>
        </w:rPr>
        <w:t xml:space="preserve">How </w:t>
      </w:r>
      <w:r w:rsidR="00CC2C21">
        <w:rPr>
          <w:b/>
          <w:lang w:val="en-GB"/>
        </w:rPr>
        <w:t xml:space="preserve">do schools </w:t>
      </w:r>
      <w:r>
        <w:rPr>
          <w:b/>
          <w:lang w:val="en-GB"/>
        </w:rPr>
        <w:t>apply</w:t>
      </w:r>
      <w:r w:rsidR="00CC2C21">
        <w:rPr>
          <w:b/>
          <w:lang w:val="en-GB"/>
        </w:rPr>
        <w:t xml:space="preserve"> to take part?</w:t>
      </w:r>
    </w:p>
    <w:p w:rsidR="00D51113" w:rsidRDefault="00D51113" w:rsidP="00D51113">
      <w:pPr>
        <w:spacing w:after="240"/>
        <w:rPr>
          <w:lang w:val="en-GB"/>
        </w:rPr>
      </w:pPr>
      <w:r>
        <w:rPr>
          <w:lang w:val="en-GB"/>
        </w:rPr>
        <w:t xml:space="preserve">Schools interested in applying to be part of a Work Group in 2016-17 should complete the expression of interest form below and submit to your Maths Hub by </w:t>
      </w:r>
      <w:r w:rsidR="000A75AD" w:rsidRPr="000A75AD">
        <w:rPr>
          <w:lang w:val="en-GB"/>
        </w:rPr>
        <w:t>Friday 14</w:t>
      </w:r>
      <w:r w:rsidRPr="000A75AD">
        <w:rPr>
          <w:vertAlign w:val="superscript"/>
          <w:lang w:val="en-GB"/>
        </w:rPr>
        <w:t>th</w:t>
      </w:r>
      <w:r w:rsidRPr="000A75AD">
        <w:rPr>
          <w:lang w:val="en-GB"/>
        </w:rPr>
        <w:t xml:space="preserve"> October</w:t>
      </w:r>
      <w:r>
        <w:rPr>
          <w:lang w:val="en-GB"/>
        </w:rPr>
        <w:t>. (Details of the Maths Hubs are given in the appendix.)</w:t>
      </w:r>
    </w:p>
    <w:p w:rsidR="00954B87" w:rsidRDefault="00D51113" w:rsidP="00D51113">
      <w:pPr>
        <w:rPr>
          <w:szCs w:val="28"/>
          <w:lang w:val="en-GB"/>
        </w:rPr>
      </w:pPr>
      <w:r>
        <w:rPr>
          <w:lang w:val="en-GB"/>
        </w:rPr>
        <w:t>The Maths Hub will then make contact with you with more details about the selection process.</w:t>
      </w:r>
    </w:p>
    <w:p w:rsidR="00521AFC" w:rsidRPr="00233187" w:rsidRDefault="0085061B">
      <w:pPr>
        <w:rPr>
          <w:b/>
          <w:sz w:val="28"/>
          <w:szCs w:val="28"/>
          <w:lang w:val="en-GB"/>
        </w:rPr>
      </w:pPr>
      <w:r>
        <w:rPr>
          <w:b/>
          <w:sz w:val="28"/>
          <w:szCs w:val="28"/>
          <w:lang w:val="en-GB"/>
        </w:rPr>
        <w:br w:type="page"/>
      </w:r>
      <w:r w:rsidR="00F50401">
        <w:rPr>
          <w:b/>
          <w:sz w:val="28"/>
          <w:szCs w:val="28"/>
          <w:lang w:val="en-GB"/>
        </w:rPr>
        <w:lastRenderedPageBreak/>
        <w:t>Expression of interest to p</w:t>
      </w:r>
      <w:r w:rsidR="00E9475C" w:rsidRPr="00043E7F">
        <w:rPr>
          <w:b/>
          <w:sz w:val="28"/>
          <w:szCs w:val="28"/>
          <w:lang w:val="en-GB"/>
        </w:rPr>
        <w:t>articipate</w:t>
      </w:r>
      <w:r w:rsidR="00F50401">
        <w:rPr>
          <w:b/>
          <w:sz w:val="28"/>
          <w:szCs w:val="28"/>
          <w:lang w:val="en-GB"/>
        </w:rPr>
        <w:t xml:space="preserve"> in </w:t>
      </w:r>
      <w:r w:rsidR="00C41F82">
        <w:rPr>
          <w:b/>
          <w:sz w:val="28"/>
          <w:szCs w:val="28"/>
          <w:lang w:val="en-GB"/>
        </w:rPr>
        <w:t>Cohort</w:t>
      </w:r>
      <w:r w:rsidR="00F50401">
        <w:rPr>
          <w:b/>
          <w:sz w:val="28"/>
          <w:szCs w:val="28"/>
          <w:lang w:val="en-GB"/>
        </w:rPr>
        <w:t xml:space="preserve"> 2 of the project</w:t>
      </w:r>
    </w:p>
    <w:p w:rsidR="00521AFC" w:rsidRPr="00233187" w:rsidRDefault="00521AFC">
      <w:pPr>
        <w:rPr>
          <w:sz w:val="12"/>
          <w:szCs w:val="12"/>
          <w:lang w:val="en-GB"/>
        </w:rPr>
      </w:pPr>
    </w:p>
    <w:p w:rsidR="00AF70FA" w:rsidRDefault="00E9475C">
      <w:pPr>
        <w:rPr>
          <w:sz w:val="22"/>
          <w:szCs w:val="22"/>
          <w:lang w:val="en-GB"/>
        </w:rPr>
      </w:pPr>
      <w:r w:rsidRPr="00233187">
        <w:rPr>
          <w:sz w:val="22"/>
          <w:szCs w:val="22"/>
          <w:lang w:val="en-GB"/>
        </w:rPr>
        <w:t>Please complete</w:t>
      </w:r>
      <w:r w:rsidR="00C41F82">
        <w:rPr>
          <w:sz w:val="22"/>
          <w:szCs w:val="22"/>
          <w:lang w:val="en-GB"/>
        </w:rPr>
        <w:t xml:space="preserve"> and </w:t>
      </w:r>
      <w:r w:rsidRPr="00233187">
        <w:rPr>
          <w:sz w:val="22"/>
          <w:szCs w:val="22"/>
          <w:lang w:val="en-GB"/>
        </w:rPr>
        <w:t xml:space="preserve">return this </w:t>
      </w:r>
      <w:r w:rsidR="00C32E1B" w:rsidRPr="00233187">
        <w:rPr>
          <w:sz w:val="22"/>
          <w:szCs w:val="22"/>
          <w:lang w:val="en-GB"/>
        </w:rPr>
        <w:t xml:space="preserve">by </w:t>
      </w:r>
      <w:r w:rsidR="000A75AD">
        <w:rPr>
          <w:b/>
          <w:sz w:val="22"/>
          <w:szCs w:val="22"/>
          <w:lang w:val="en-GB"/>
        </w:rPr>
        <w:t>14</w:t>
      </w:r>
      <w:r w:rsidR="00C41F82" w:rsidRPr="00C41F82">
        <w:rPr>
          <w:b/>
          <w:sz w:val="22"/>
          <w:szCs w:val="22"/>
          <w:vertAlign w:val="superscript"/>
          <w:lang w:val="en-GB"/>
        </w:rPr>
        <w:t>th</w:t>
      </w:r>
      <w:r w:rsidR="00C41F82">
        <w:rPr>
          <w:b/>
          <w:sz w:val="22"/>
          <w:szCs w:val="22"/>
          <w:lang w:val="en-GB"/>
        </w:rPr>
        <w:t xml:space="preserve"> October</w:t>
      </w:r>
      <w:r w:rsidR="000766D5" w:rsidRPr="00233187">
        <w:rPr>
          <w:b/>
          <w:sz w:val="22"/>
          <w:szCs w:val="22"/>
          <w:lang w:val="en-GB"/>
        </w:rPr>
        <w:t xml:space="preserve"> </w:t>
      </w:r>
      <w:r w:rsidRPr="00233187">
        <w:rPr>
          <w:sz w:val="22"/>
          <w:szCs w:val="22"/>
          <w:lang w:val="en-GB"/>
        </w:rPr>
        <w:t xml:space="preserve">to </w:t>
      </w:r>
      <w:r w:rsidR="00EF23DA">
        <w:rPr>
          <w:sz w:val="22"/>
          <w:szCs w:val="22"/>
          <w:lang w:val="en-GB"/>
        </w:rPr>
        <w:t>your</w:t>
      </w:r>
      <w:r w:rsidR="00C41F82">
        <w:rPr>
          <w:sz w:val="22"/>
          <w:szCs w:val="22"/>
          <w:lang w:val="en-GB"/>
        </w:rPr>
        <w:t xml:space="preserve"> Maths Hub</w:t>
      </w:r>
    </w:p>
    <w:p w:rsidR="00233187" w:rsidRPr="00233187" w:rsidRDefault="00233187">
      <w:pPr>
        <w:rPr>
          <w:sz w:val="12"/>
          <w:szCs w:val="12"/>
          <w:lang w:val="en-GB"/>
        </w:rPr>
      </w:pPr>
    </w:p>
    <w:tbl>
      <w:tblPr>
        <w:tblStyle w:val="TableGrid"/>
        <w:tblW w:w="0" w:type="auto"/>
        <w:tblLook w:val="04A0" w:firstRow="1" w:lastRow="0" w:firstColumn="1" w:lastColumn="0" w:noHBand="0" w:noVBand="1"/>
      </w:tblPr>
      <w:tblGrid>
        <w:gridCol w:w="4077"/>
        <w:gridCol w:w="5529"/>
      </w:tblGrid>
      <w:tr w:rsidR="00C5472A" w:rsidRPr="00233187" w:rsidTr="00233187">
        <w:tc>
          <w:tcPr>
            <w:tcW w:w="4077" w:type="dxa"/>
            <w:vAlign w:val="center"/>
          </w:tcPr>
          <w:p w:rsidR="00C5472A" w:rsidRPr="00233187" w:rsidRDefault="00C5472A" w:rsidP="00282EE0">
            <w:pPr>
              <w:spacing w:before="60" w:after="60"/>
              <w:rPr>
                <w:sz w:val="22"/>
                <w:szCs w:val="22"/>
                <w:lang w:val="en-GB"/>
              </w:rPr>
            </w:pPr>
            <w:r w:rsidRPr="00233187">
              <w:rPr>
                <w:sz w:val="22"/>
                <w:szCs w:val="22"/>
                <w:lang w:val="en-GB"/>
              </w:rPr>
              <w:t>Name of school</w:t>
            </w:r>
          </w:p>
        </w:tc>
        <w:tc>
          <w:tcPr>
            <w:tcW w:w="5529" w:type="dxa"/>
            <w:vAlign w:val="center"/>
          </w:tcPr>
          <w:p w:rsidR="00C5472A" w:rsidRPr="00233187" w:rsidRDefault="00C5472A" w:rsidP="00282EE0">
            <w:pPr>
              <w:spacing w:before="60" w:after="60"/>
              <w:rPr>
                <w:sz w:val="22"/>
                <w:szCs w:val="22"/>
                <w:lang w:val="en-GB"/>
              </w:rPr>
            </w:pPr>
          </w:p>
        </w:tc>
      </w:tr>
      <w:tr w:rsidR="00C5472A" w:rsidRPr="00233187" w:rsidTr="00233187">
        <w:tc>
          <w:tcPr>
            <w:tcW w:w="4077" w:type="dxa"/>
            <w:vAlign w:val="center"/>
          </w:tcPr>
          <w:p w:rsidR="00C5472A" w:rsidRPr="00233187" w:rsidRDefault="00F50401" w:rsidP="00282EE0">
            <w:pPr>
              <w:spacing w:before="60" w:after="60"/>
              <w:rPr>
                <w:sz w:val="22"/>
                <w:szCs w:val="22"/>
                <w:lang w:val="en-GB"/>
              </w:rPr>
            </w:pPr>
            <w:r w:rsidRPr="00233187">
              <w:rPr>
                <w:sz w:val="22"/>
                <w:szCs w:val="22"/>
                <w:lang w:val="en-GB"/>
              </w:rPr>
              <w:t>School URN</w:t>
            </w:r>
          </w:p>
        </w:tc>
        <w:tc>
          <w:tcPr>
            <w:tcW w:w="5529" w:type="dxa"/>
            <w:vAlign w:val="center"/>
          </w:tcPr>
          <w:p w:rsidR="00C5472A" w:rsidRPr="00233187" w:rsidRDefault="00C5472A" w:rsidP="00282EE0">
            <w:pPr>
              <w:spacing w:before="60" w:after="60"/>
              <w:rPr>
                <w:sz w:val="22"/>
                <w:szCs w:val="22"/>
                <w:lang w:val="en-GB"/>
              </w:rPr>
            </w:pPr>
          </w:p>
        </w:tc>
      </w:tr>
      <w:tr w:rsidR="00C41F82" w:rsidRPr="00233187" w:rsidTr="00233187">
        <w:tc>
          <w:tcPr>
            <w:tcW w:w="4077" w:type="dxa"/>
            <w:vAlign w:val="center"/>
          </w:tcPr>
          <w:p w:rsidR="00C41F82" w:rsidRPr="00233187" w:rsidRDefault="00C41F82" w:rsidP="00282EE0">
            <w:pPr>
              <w:spacing w:before="60" w:after="60"/>
              <w:rPr>
                <w:sz w:val="22"/>
                <w:szCs w:val="22"/>
                <w:lang w:val="en-GB"/>
              </w:rPr>
            </w:pPr>
            <w:r>
              <w:rPr>
                <w:sz w:val="22"/>
                <w:szCs w:val="22"/>
                <w:lang w:val="en-GB"/>
              </w:rPr>
              <w:t>Maths Hub</w:t>
            </w:r>
          </w:p>
        </w:tc>
        <w:tc>
          <w:tcPr>
            <w:tcW w:w="5529" w:type="dxa"/>
            <w:vAlign w:val="center"/>
          </w:tcPr>
          <w:p w:rsidR="00C41F82" w:rsidRPr="00233187" w:rsidRDefault="00C41F82" w:rsidP="00282EE0">
            <w:pPr>
              <w:spacing w:before="60" w:after="60"/>
              <w:rPr>
                <w:sz w:val="22"/>
                <w:szCs w:val="22"/>
                <w:lang w:val="en-GB"/>
              </w:rPr>
            </w:pPr>
          </w:p>
        </w:tc>
      </w:tr>
      <w:tr w:rsidR="00F50401" w:rsidRPr="00233187" w:rsidTr="00233187">
        <w:tc>
          <w:tcPr>
            <w:tcW w:w="4077" w:type="dxa"/>
            <w:vAlign w:val="center"/>
          </w:tcPr>
          <w:p w:rsidR="00F50401" w:rsidRPr="00233187" w:rsidRDefault="00F50401" w:rsidP="00282EE0">
            <w:pPr>
              <w:spacing w:before="60" w:after="60"/>
              <w:rPr>
                <w:sz w:val="22"/>
                <w:szCs w:val="22"/>
                <w:lang w:val="en-GB"/>
              </w:rPr>
            </w:pPr>
            <w:r w:rsidRPr="00233187">
              <w:rPr>
                <w:sz w:val="22"/>
                <w:szCs w:val="22"/>
                <w:lang w:val="en-GB"/>
              </w:rPr>
              <w:t>Nominated teachers for Work Group (name and e-mail)</w:t>
            </w:r>
          </w:p>
        </w:tc>
        <w:tc>
          <w:tcPr>
            <w:tcW w:w="5529" w:type="dxa"/>
            <w:vAlign w:val="center"/>
          </w:tcPr>
          <w:p w:rsidR="00F50401" w:rsidRPr="00233187" w:rsidRDefault="00F50401" w:rsidP="00282EE0">
            <w:pPr>
              <w:spacing w:before="60" w:after="60"/>
              <w:rPr>
                <w:sz w:val="22"/>
                <w:szCs w:val="22"/>
                <w:lang w:val="en-GB"/>
              </w:rPr>
            </w:pPr>
          </w:p>
        </w:tc>
      </w:tr>
      <w:tr w:rsidR="00F50401" w:rsidRPr="00233187" w:rsidTr="00233187">
        <w:tc>
          <w:tcPr>
            <w:tcW w:w="4077" w:type="dxa"/>
            <w:vAlign w:val="center"/>
          </w:tcPr>
          <w:p w:rsidR="00F50401" w:rsidRPr="00233187" w:rsidRDefault="00F50401" w:rsidP="00282EE0">
            <w:pPr>
              <w:spacing w:before="60" w:after="60"/>
              <w:rPr>
                <w:sz w:val="22"/>
                <w:szCs w:val="22"/>
                <w:lang w:val="en-GB"/>
              </w:rPr>
            </w:pPr>
            <w:r w:rsidRPr="00233187">
              <w:rPr>
                <w:sz w:val="22"/>
                <w:szCs w:val="22"/>
                <w:lang w:val="en-GB"/>
              </w:rPr>
              <w:t>Head of department (name and e-mail)</w:t>
            </w:r>
          </w:p>
        </w:tc>
        <w:tc>
          <w:tcPr>
            <w:tcW w:w="5529" w:type="dxa"/>
            <w:vAlign w:val="center"/>
          </w:tcPr>
          <w:p w:rsidR="00F50401" w:rsidRPr="00233187" w:rsidRDefault="00F50401" w:rsidP="00282EE0">
            <w:pPr>
              <w:spacing w:before="60" w:after="60"/>
              <w:rPr>
                <w:sz w:val="22"/>
                <w:szCs w:val="22"/>
                <w:lang w:val="en-GB"/>
              </w:rPr>
            </w:pPr>
          </w:p>
        </w:tc>
      </w:tr>
    </w:tbl>
    <w:p w:rsidR="00871555" w:rsidRPr="00233187" w:rsidRDefault="00871555">
      <w:pPr>
        <w:rPr>
          <w:sz w:val="12"/>
          <w:szCs w:val="12"/>
        </w:rPr>
      </w:pPr>
    </w:p>
    <w:tbl>
      <w:tblPr>
        <w:tblStyle w:val="TableGrid"/>
        <w:tblW w:w="0" w:type="auto"/>
        <w:tblLook w:val="04A0" w:firstRow="1" w:lastRow="0" w:firstColumn="1" w:lastColumn="0" w:noHBand="0" w:noVBand="1"/>
      </w:tblPr>
      <w:tblGrid>
        <w:gridCol w:w="2122"/>
        <w:gridCol w:w="7484"/>
      </w:tblGrid>
      <w:tr w:rsidR="00C765D1" w:rsidRPr="00233187" w:rsidTr="00233187">
        <w:tc>
          <w:tcPr>
            <w:tcW w:w="2122" w:type="dxa"/>
            <w:vAlign w:val="center"/>
          </w:tcPr>
          <w:p w:rsidR="00710E2C" w:rsidRPr="00233187" w:rsidRDefault="00C765D1" w:rsidP="00EF23DA">
            <w:pPr>
              <w:spacing w:before="60" w:after="60"/>
              <w:rPr>
                <w:sz w:val="22"/>
                <w:szCs w:val="22"/>
                <w:lang w:val="en-GB"/>
              </w:rPr>
            </w:pPr>
            <w:r w:rsidRPr="00233187">
              <w:rPr>
                <w:sz w:val="22"/>
                <w:szCs w:val="22"/>
                <w:lang w:val="en-GB"/>
              </w:rPr>
              <w:t xml:space="preserve">Please explain briefly (about 100 words) </w:t>
            </w:r>
            <w:r w:rsidR="00F50401" w:rsidRPr="00233187">
              <w:rPr>
                <w:sz w:val="22"/>
                <w:szCs w:val="22"/>
                <w:lang w:val="en-GB"/>
              </w:rPr>
              <w:t xml:space="preserve">why </w:t>
            </w:r>
            <w:r w:rsidR="00EF23DA">
              <w:rPr>
                <w:sz w:val="22"/>
                <w:szCs w:val="22"/>
                <w:lang w:val="en-GB"/>
              </w:rPr>
              <w:t>the department wishes to participate in the project Work Group</w:t>
            </w:r>
          </w:p>
        </w:tc>
        <w:tc>
          <w:tcPr>
            <w:tcW w:w="7484" w:type="dxa"/>
            <w:vAlign w:val="center"/>
          </w:tcPr>
          <w:p w:rsidR="00710E2C" w:rsidRPr="00233187" w:rsidRDefault="00710E2C" w:rsidP="009F36C1">
            <w:pPr>
              <w:spacing w:before="60" w:after="60"/>
              <w:rPr>
                <w:sz w:val="22"/>
                <w:szCs w:val="22"/>
                <w:lang w:val="en-GB"/>
              </w:rPr>
            </w:pPr>
          </w:p>
        </w:tc>
      </w:tr>
    </w:tbl>
    <w:p w:rsidR="00871555" w:rsidRPr="00233187" w:rsidRDefault="00871555">
      <w:pPr>
        <w:rPr>
          <w:sz w:val="12"/>
          <w:szCs w:val="12"/>
        </w:rPr>
      </w:pPr>
    </w:p>
    <w:p w:rsidR="00F50401" w:rsidRPr="00233187" w:rsidRDefault="00F50401" w:rsidP="00F50401">
      <w:pPr>
        <w:rPr>
          <w:b/>
          <w:sz w:val="22"/>
          <w:szCs w:val="22"/>
        </w:rPr>
      </w:pPr>
      <w:r w:rsidRPr="00233187">
        <w:rPr>
          <w:b/>
          <w:sz w:val="22"/>
          <w:szCs w:val="22"/>
        </w:rPr>
        <w:t xml:space="preserve">Confirmation of school commitment (electronic signatures) </w:t>
      </w:r>
    </w:p>
    <w:p w:rsidR="00F50401" w:rsidRPr="00233187" w:rsidRDefault="00F50401" w:rsidP="00F50401">
      <w:pPr>
        <w:rPr>
          <w:sz w:val="22"/>
          <w:szCs w:val="22"/>
        </w:rPr>
      </w:pPr>
      <w:r w:rsidRPr="00233187">
        <w:rPr>
          <w:sz w:val="22"/>
          <w:szCs w:val="22"/>
        </w:rPr>
        <w:t>If we are chosen to participate in the Work Group, we understand and commit to the following expectations:</w:t>
      </w:r>
    </w:p>
    <w:p w:rsidR="00F97C2C" w:rsidRDefault="00F97C2C" w:rsidP="00F97C2C">
      <w:pPr>
        <w:pStyle w:val="ListParagraph"/>
        <w:numPr>
          <w:ilvl w:val="0"/>
          <w:numId w:val="11"/>
        </w:numPr>
        <w:rPr>
          <w:szCs w:val="28"/>
          <w:lang w:val="en-GB"/>
        </w:rPr>
      </w:pPr>
      <w:r>
        <w:rPr>
          <w:szCs w:val="28"/>
          <w:lang w:val="en-GB"/>
        </w:rPr>
        <w:t>The two nominated lead teachers will participate fully in all the workshops</w:t>
      </w:r>
    </w:p>
    <w:p w:rsidR="00F97C2C" w:rsidRDefault="00F97C2C" w:rsidP="00F97C2C">
      <w:pPr>
        <w:pStyle w:val="ListParagraph"/>
        <w:numPr>
          <w:ilvl w:val="0"/>
          <w:numId w:val="11"/>
        </w:numPr>
        <w:rPr>
          <w:szCs w:val="28"/>
          <w:lang w:val="en-GB"/>
        </w:rPr>
      </w:pPr>
      <w:r>
        <w:rPr>
          <w:szCs w:val="28"/>
          <w:lang w:val="en-GB"/>
        </w:rPr>
        <w:t>The head of department, working with the lead teachers, will ensure that the department carries out the gap tasks between the workshops including departmental discussion, collaborative planning and lesson study</w:t>
      </w:r>
    </w:p>
    <w:p w:rsidR="00F97C2C" w:rsidRPr="00F50401" w:rsidRDefault="00F97C2C" w:rsidP="00F97C2C">
      <w:pPr>
        <w:pStyle w:val="ListParagraph"/>
        <w:numPr>
          <w:ilvl w:val="0"/>
          <w:numId w:val="11"/>
        </w:numPr>
        <w:rPr>
          <w:szCs w:val="28"/>
          <w:lang w:val="en-GB"/>
        </w:rPr>
      </w:pPr>
      <w:r>
        <w:rPr>
          <w:szCs w:val="28"/>
          <w:lang w:val="en-GB"/>
        </w:rPr>
        <w:t>The school senior leadership will support the departmental leadership in participating fully in the project and in maximising the benefit to the department</w:t>
      </w:r>
    </w:p>
    <w:p w:rsidR="00F50401" w:rsidRPr="00233187" w:rsidRDefault="00F97C2C" w:rsidP="00F97C2C">
      <w:pPr>
        <w:pStyle w:val="ListParagraph"/>
        <w:numPr>
          <w:ilvl w:val="0"/>
          <w:numId w:val="11"/>
        </w:numPr>
        <w:rPr>
          <w:sz w:val="22"/>
          <w:szCs w:val="22"/>
          <w:lang w:val="en-GB"/>
        </w:rPr>
      </w:pPr>
      <w:r>
        <w:rPr>
          <w:lang w:val="en-GB"/>
        </w:rPr>
        <w:t>The project Work Group Lead and / or the HEI partner representative will be welcome to visit the school and observe mathematics lessons in which gap task activities are being used in the classroom</w:t>
      </w:r>
    </w:p>
    <w:p w:rsidR="00233187" w:rsidRPr="00233187" w:rsidRDefault="00233187" w:rsidP="00233187">
      <w:pPr>
        <w:pStyle w:val="ListParagraph"/>
        <w:rPr>
          <w:sz w:val="12"/>
          <w:szCs w:val="12"/>
          <w:lang w:val="en-GB"/>
        </w:rPr>
      </w:pPr>
    </w:p>
    <w:tbl>
      <w:tblPr>
        <w:tblStyle w:val="TableGrid"/>
        <w:tblW w:w="0" w:type="auto"/>
        <w:tblInd w:w="108" w:type="dxa"/>
        <w:tblLook w:val="04A0" w:firstRow="1" w:lastRow="0" w:firstColumn="1" w:lastColumn="0" w:noHBand="0" w:noVBand="1"/>
      </w:tblPr>
      <w:tblGrid>
        <w:gridCol w:w="2835"/>
        <w:gridCol w:w="6663"/>
      </w:tblGrid>
      <w:tr w:rsidR="00F50401" w:rsidRPr="00233187" w:rsidTr="00D51113">
        <w:tc>
          <w:tcPr>
            <w:tcW w:w="2835" w:type="dxa"/>
            <w:vAlign w:val="center"/>
          </w:tcPr>
          <w:p w:rsidR="00F50401" w:rsidRPr="00233187" w:rsidRDefault="00F50401" w:rsidP="00821CF7">
            <w:pPr>
              <w:spacing w:before="60" w:after="60"/>
              <w:rPr>
                <w:sz w:val="22"/>
                <w:szCs w:val="22"/>
                <w:lang w:val="en-GB"/>
              </w:rPr>
            </w:pPr>
            <w:r w:rsidRPr="00233187">
              <w:rPr>
                <w:sz w:val="22"/>
                <w:szCs w:val="22"/>
                <w:lang w:val="en-GB"/>
              </w:rPr>
              <w:t>Head Teacher</w:t>
            </w:r>
            <w:r w:rsidR="00D51113">
              <w:rPr>
                <w:sz w:val="22"/>
                <w:szCs w:val="22"/>
                <w:lang w:val="en-GB"/>
              </w:rPr>
              <w:t>/Senior Leader</w:t>
            </w:r>
            <w:r w:rsidRPr="00233187">
              <w:rPr>
                <w:sz w:val="22"/>
                <w:szCs w:val="22"/>
                <w:lang w:val="en-GB"/>
              </w:rPr>
              <w:t xml:space="preserve"> </w:t>
            </w:r>
          </w:p>
        </w:tc>
        <w:tc>
          <w:tcPr>
            <w:tcW w:w="6663" w:type="dxa"/>
            <w:vAlign w:val="center"/>
          </w:tcPr>
          <w:p w:rsidR="00F50401" w:rsidRPr="00233187" w:rsidRDefault="00F50401" w:rsidP="00821CF7">
            <w:pPr>
              <w:spacing w:before="60" w:after="60"/>
              <w:rPr>
                <w:i/>
                <w:color w:val="BFBFBF" w:themeColor="background1" w:themeShade="BF"/>
                <w:sz w:val="22"/>
                <w:szCs w:val="22"/>
                <w:lang w:val="en-GB"/>
              </w:rPr>
            </w:pPr>
            <w:r w:rsidRPr="00233187">
              <w:rPr>
                <w:i/>
                <w:color w:val="BFBFBF" w:themeColor="background1" w:themeShade="BF"/>
                <w:sz w:val="22"/>
                <w:szCs w:val="22"/>
                <w:lang w:val="en-GB"/>
              </w:rPr>
              <w:t>Signature of Head Teacher</w:t>
            </w:r>
            <w:r w:rsidR="00F97C2C">
              <w:rPr>
                <w:i/>
                <w:color w:val="BFBFBF" w:themeColor="background1" w:themeShade="BF"/>
                <w:sz w:val="22"/>
                <w:szCs w:val="22"/>
                <w:lang w:val="en-GB"/>
              </w:rPr>
              <w:t>/Senior Leader</w:t>
            </w:r>
          </w:p>
        </w:tc>
      </w:tr>
      <w:tr w:rsidR="00F50401" w:rsidRPr="00233187" w:rsidTr="00D51113">
        <w:tc>
          <w:tcPr>
            <w:tcW w:w="2835" w:type="dxa"/>
            <w:vAlign w:val="center"/>
          </w:tcPr>
          <w:p w:rsidR="00F50401" w:rsidRPr="00233187" w:rsidRDefault="00F50401" w:rsidP="00821CF7">
            <w:pPr>
              <w:spacing w:before="60" w:after="60"/>
              <w:rPr>
                <w:sz w:val="22"/>
                <w:szCs w:val="22"/>
                <w:lang w:val="en-GB"/>
              </w:rPr>
            </w:pPr>
            <w:r w:rsidRPr="00233187">
              <w:rPr>
                <w:sz w:val="22"/>
                <w:szCs w:val="22"/>
                <w:lang w:val="en-GB"/>
              </w:rPr>
              <w:t xml:space="preserve">Head of department </w:t>
            </w:r>
          </w:p>
        </w:tc>
        <w:tc>
          <w:tcPr>
            <w:tcW w:w="6663" w:type="dxa"/>
            <w:vAlign w:val="center"/>
          </w:tcPr>
          <w:p w:rsidR="00F50401" w:rsidRPr="00233187" w:rsidRDefault="00F50401" w:rsidP="00F50401">
            <w:pPr>
              <w:spacing w:before="60" w:after="60"/>
              <w:rPr>
                <w:i/>
                <w:color w:val="BFBFBF" w:themeColor="background1" w:themeShade="BF"/>
                <w:sz w:val="22"/>
                <w:szCs w:val="22"/>
                <w:lang w:val="en-GB"/>
              </w:rPr>
            </w:pPr>
            <w:r w:rsidRPr="00233187">
              <w:rPr>
                <w:i/>
                <w:color w:val="BFBFBF" w:themeColor="background1" w:themeShade="BF"/>
                <w:sz w:val="22"/>
                <w:szCs w:val="22"/>
                <w:lang w:val="en-GB"/>
              </w:rPr>
              <w:t>Signature of Head of Department</w:t>
            </w:r>
          </w:p>
        </w:tc>
      </w:tr>
      <w:tr w:rsidR="00F50401" w:rsidRPr="00233187" w:rsidTr="00D51113">
        <w:tc>
          <w:tcPr>
            <w:tcW w:w="2835" w:type="dxa"/>
            <w:vAlign w:val="center"/>
          </w:tcPr>
          <w:p w:rsidR="00F50401" w:rsidRPr="00233187" w:rsidRDefault="00F50401" w:rsidP="00821CF7">
            <w:pPr>
              <w:spacing w:before="60" w:after="60"/>
              <w:rPr>
                <w:sz w:val="22"/>
                <w:szCs w:val="22"/>
                <w:lang w:val="en-GB"/>
              </w:rPr>
            </w:pPr>
            <w:r w:rsidRPr="00233187">
              <w:rPr>
                <w:sz w:val="22"/>
                <w:szCs w:val="22"/>
                <w:lang w:val="en-GB"/>
              </w:rPr>
              <w:t>Work Group teacher 1</w:t>
            </w:r>
          </w:p>
        </w:tc>
        <w:tc>
          <w:tcPr>
            <w:tcW w:w="6663" w:type="dxa"/>
            <w:vAlign w:val="center"/>
          </w:tcPr>
          <w:p w:rsidR="00F50401" w:rsidRPr="00233187" w:rsidRDefault="00F50401" w:rsidP="00F50401">
            <w:pPr>
              <w:spacing w:before="60" w:after="60"/>
              <w:rPr>
                <w:i/>
                <w:color w:val="BFBFBF" w:themeColor="background1" w:themeShade="BF"/>
                <w:sz w:val="22"/>
                <w:szCs w:val="22"/>
                <w:lang w:val="en-GB"/>
              </w:rPr>
            </w:pPr>
            <w:r w:rsidRPr="00233187">
              <w:rPr>
                <w:i/>
                <w:color w:val="BFBFBF" w:themeColor="background1" w:themeShade="BF"/>
                <w:sz w:val="22"/>
                <w:szCs w:val="22"/>
                <w:lang w:val="en-GB"/>
              </w:rPr>
              <w:t>Signature of Work Group Teacher 1</w:t>
            </w:r>
          </w:p>
        </w:tc>
      </w:tr>
      <w:tr w:rsidR="00F50401" w:rsidRPr="00233187" w:rsidTr="00D51113">
        <w:tc>
          <w:tcPr>
            <w:tcW w:w="2835" w:type="dxa"/>
            <w:vAlign w:val="center"/>
          </w:tcPr>
          <w:p w:rsidR="00F50401" w:rsidRPr="00233187" w:rsidRDefault="00F50401" w:rsidP="00821CF7">
            <w:pPr>
              <w:spacing w:before="60" w:after="60"/>
              <w:rPr>
                <w:sz w:val="22"/>
                <w:szCs w:val="22"/>
                <w:lang w:val="en-GB"/>
              </w:rPr>
            </w:pPr>
            <w:r w:rsidRPr="00233187">
              <w:rPr>
                <w:sz w:val="22"/>
                <w:szCs w:val="22"/>
                <w:lang w:val="en-GB"/>
              </w:rPr>
              <w:t>Work Group teacher 2</w:t>
            </w:r>
          </w:p>
        </w:tc>
        <w:tc>
          <w:tcPr>
            <w:tcW w:w="6663" w:type="dxa"/>
            <w:vAlign w:val="center"/>
          </w:tcPr>
          <w:p w:rsidR="00F50401" w:rsidRPr="00233187" w:rsidRDefault="00F50401" w:rsidP="00F50401">
            <w:pPr>
              <w:spacing w:before="60" w:after="60"/>
              <w:rPr>
                <w:i/>
                <w:color w:val="BFBFBF" w:themeColor="background1" w:themeShade="BF"/>
                <w:sz w:val="22"/>
                <w:szCs w:val="22"/>
                <w:lang w:val="en-GB"/>
              </w:rPr>
            </w:pPr>
            <w:r w:rsidRPr="00233187">
              <w:rPr>
                <w:i/>
                <w:color w:val="BFBFBF" w:themeColor="background1" w:themeShade="BF"/>
                <w:sz w:val="22"/>
                <w:szCs w:val="22"/>
                <w:lang w:val="en-GB"/>
              </w:rPr>
              <w:t>Signature of Work Group</w:t>
            </w:r>
            <w:r w:rsidR="00233187">
              <w:rPr>
                <w:i/>
                <w:color w:val="BFBFBF" w:themeColor="background1" w:themeShade="BF"/>
                <w:sz w:val="22"/>
                <w:szCs w:val="22"/>
                <w:lang w:val="en-GB"/>
              </w:rPr>
              <w:t xml:space="preserve"> </w:t>
            </w:r>
            <w:r w:rsidRPr="00233187">
              <w:rPr>
                <w:i/>
                <w:color w:val="BFBFBF" w:themeColor="background1" w:themeShade="BF"/>
                <w:sz w:val="22"/>
                <w:szCs w:val="22"/>
                <w:lang w:val="en-GB"/>
              </w:rPr>
              <w:t>Teacher 2</w:t>
            </w:r>
          </w:p>
        </w:tc>
      </w:tr>
    </w:tbl>
    <w:p w:rsidR="00767ADF" w:rsidRPr="00233187" w:rsidRDefault="00F50401" w:rsidP="00111DA3">
      <w:pPr>
        <w:rPr>
          <w:sz w:val="22"/>
          <w:szCs w:val="22"/>
          <w:lang w:val="en-GB"/>
        </w:rPr>
      </w:pPr>
      <w:r w:rsidRPr="00233187">
        <w:rPr>
          <w:i/>
          <w:sz w:val="22"/>
          <w:szCs w:val="22"/>
        </w:rPr>
        <w:t>(Note: When the form is e-mailed, please copy in all signatories as confirmation of their electronic signature)</w:t>
      </w:r>
    </w:p>
    <w:p w:rsidR="004D439A" w:rsidRDefault="004D439A">
      <w:pPr>
        <w:rPr>
          <w:lang w:val="en-GB"/>
        </w:rPr>
      </w:pPr>
      <w:r>
        <w:rPr>
          <w:lang w:val="en-GB"/>
        </w:rPr>
        <w:br w:type="page"/>
      </w:r>
    </w:p>
    <w:p w:rsidR="004D439A" w:rsidRDefault="004D439A" w:rsidP="004D439A">
      <w:pPr>
        <w:spacing w:after="160"/>
        <w:rPr>
          <w:rFonts w:cs="Arial"/>
          <w:b/>
          <w:sz w:val="28"/>
          <w:szCs w:val="28"/>
        </w:rPr>
      </w:pPr>
      <w:r w:rsidRPr="0002460A">
        <w:rPr>
          <w:rFonts w:cs="Arial"/>
          <w:b/>
          <w:sz w:val="28"/>
          <w:szCs w:val="28"/>
        </w:rPr>
        <w:lastRenderedPageBreak/>
        <w:t>Appendix: Names of Maths Hubs and lead schools/colleges</w:t>
      </w:r>
    </w:p>
    <w:p w:rsidR="004D439A" w:rsidRDefault="004D439A" w:rsidP="004D439A">
      <w:pPr>
        <w:spacing w:after="80"/>
        <w:rPr>
          <w:rFonts w:cs="Arial"/>
        </w:rPr>
      </w:pPr>
      <w:r>
        <w:rPr>
          <w:rFonts w:cs="Arial"/>
        </w:rPr>
        <w:t xml:space="preserve">Below is a list of the 35 Maths Hubs. Contact details for each Maths Hub can be found on the Maths Hubs Programme </w:t>
      </w:r>
      <w:hyperlink r:id="rId8" w:history="1">
        <w:r w:rsidRPr="009A203B">
          <w:rPr>
            <w:rStyle w:val="Hyperlink"/>
            <w:rFonts w:cs="Arial"/>
          </w:rPr>
          <w:t>website</w:t>
        </w:r>
      </w:hyperlink>
      <w:r>
        <w:rPr>
          <w:rFonts w:cs="Arial"/>
        </w:rPr>
        <w:t>.</w:t>
      </w:r>
    </w:p>
    <w:p w:rsidR="004D439A" w:rsidRPr="0002460A" w:rsidRDefault="004D439A" w:rsidP="004D439A">
      <w:pPr>
        <w:rPr>
          <w:rFonts w:cs="Arial"/>
          <w:b/>
          <w:sz w:val="20"/>
          <w:szCs w:val="20"/>
        </w:rPr>
      </w:pPr>
      <w:r w:rsidRPr="0002460A">
        <w:rPr>
          <w:rFonts w:cs="Arial"/>
          <w:b/>
          <w:sz w:val="20"/>
          <w:szCs w:val="20"/>
        </w:rPr>
        <w:t>South West Region:</w:t>
      </w:r>
    </w:p>
    <w:p w:rsidR="004D439A" w:rsidRPr="0002460A" w:rsidRDefault="004D439A" w:rsidP="004D439A">
      <w:pPr>
        <w:rPr>
          <w:rFonts w:cs="Arial"/>
          <w:sz w:val="20"/>
          <w:szCs w:val="20"/>
        </w:rPr>
      </w:pPr>
      <w:r w:rsidRPr="0002460A">
        <w:rPr>
          <w:rFonts w:cs="Arial"/>
          <w:color w:val="44546A" w:themeColor="text2"/>
          <w:sz w:val="20"/>
          <w:szCs w:val="20"/>
        </w:rPr>
        <w:t>Cornwall and West Devon Maths Hub</w:t>
      </w:r>
      <w:r w:rsidRPr="0002460A">
        <w:rPr>
          <w:rFonts w:cs="Arial"/>
          <w:sz w:val="20"/>
          <w:szCs w:val="20"/>
        </w:rPr>
        <w:t xml:space="preserve"> (Truro and </w:t>
      </w:r>
      <w:proofErr w:type="spellStart"/>
      <w:r w:rsidRPr="0002460A">
        <w:rPr>
          <w:rFonts w:cs="Arial"/>
          <w:sz w:val="20"/>
          <w:szCs w:val="20"/>
        </w:rPr>
        <w:t>Penwith</w:t>
      </w:r>
      <w:proofErr w:type="spellEnd"/>
      <w:r w:rsidRPr="0002460A">
        <w:rPr>
          <w:rFonts w:cs="Arial"/>
          <w:sz w:val="20"/>
          <w:szCs w:val="20"/>
        </w:rPr>
        <w:t xml:space="preserve"> College)</w:t>
      </w:r>
    </w:p>
    <w:p w:rsidR="004D439A" w:rsidRPr="0002460A" w:rsidRDefault="004D439A" w:rsidP="004D439A">
      <w:pPr>
        <w:rPr>
          <w:rFonts w:cs="Arial"/>
          <w:sz w:val="20"/>
          <w:szCs w:val="20"/>
        </w:rPr>
      </w:pPr>
      <w:r w:rsidRPr="0002460A">
        <w:rPr>
          <w:rFonts w:cs="Arial"/>
          <w:color w:val="44546A" w:themeColor="text2"/>
          <w:sz w:val="20"/>
          <w:szCs w:val="20"/>
        </w:rPr>
        <w:t>Jurassic Maths Hub</w:t>
      </w:r>
      <w:r w:rsidRPr="0002460A">
        <w:rPr>
          <w:rFonts w:cs="Arial"/>
          <w:sz w:val="20"/>
          <w:szCs w:val="20"/>
        </w:rPr>
        <w:t xml:space="preserve"> (</w:t>
      </w:r>
      <w:r>
        <w:rPr>
          <w:rFonts w:cs="Arial"/>
          <w:sz w:val="20"/>
          <w:szCs w:val="20"/>
        </w:rPr>
        <w:t xml:space="preserve">The </w:t>
      </w:r>
      <w:r w:rsidRPr="0002460A">
        <w:rPr>
          <w:rFonts w:cs="Arial"/>
          <w:sz w:val="20"/>
          <w:szCs w:val="20"/>
        </w:rPr>
        <w:t>Woodroffe School, Lyme Regis)</w:t>
      </w:r>
    </w:p>
    <w:p w:rsidR="004D439A" w:rsidRPr="0002460A" w:rsidRDefault="004D439A" w:rsidP="004D439A">
      <w:pPr>
        <w:rPr>
          <w:rFonts w:cs="Arial"/>
          <w:sz w:val="20"/>
          <w:szCs w:val="20"/>
        </w:rPr>
      </w:pPr>
      <w:r w:rsidRPr="0002460A">
        <w:rPr>
          <w:rFonts w:cs="Arial"/>
          <w:color w:val="44546A" w:themeColor="text2"/>
          <w:sz w:val="20"/>
          <w:szCs w:val="20"/>
        </w:rPr>
        <w:t>Boolean Maths Hub</w:t>
      </w:r>
      <w:r>
        <w:rPr>
          <w:rFonts w:cs="Arial"/>
          <w:sz w:val="20"/>
          <w:szCs w:val="20"/>
        </w:rPr>
        <w:t xml:space="preserve"> (Cabot Learning Federation with Ashley Down Primary School, Bristol</w:t>
      </w:r>
      <w:r w:rsidRPr="0002460A">
        <w:rPr>
          <w:rFonts w:cs="Arial"/>
          <w:sz w:val="20"/>
          <w:szCs w:val="20"/>
        </w:rPr>
        <w:t>)</w:t>
      </w:r>
    </w:p>
    <w:p w:rsidR="004D439A" w:rsidRPr="0002460A" w:rsidRDefault="004D439A" w:rsidP="004D439A">
      <w:pPr>
        <w:spacing w:after="120"/>
        <w:rPr>
          <w:rFonts w:cs="Arial"/>
          <w:sz w:val="20"/>
          <w:szCs w:val="20"/>
        </w:rPr>
      </w:pPr>
      <w:r w:rsidRPr="0002460A">
        <w:rPr>
          <w:rFonts w:cs="Arial"/>
          <w:color w:val="44546A" w:themeColor="text2"/>
          <w:sz w:val="20"/>
          <w:szCs w:val="20"/>
        </w:rPr>
        <w:t xml:space="preserve">GLOW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sidRPr="0002460A">
        <w:rPr>
          <w:rFonts w:cs="Arial"/>
          <w:sz w:val="20"/>
          <w:szCs w:val="20"/>
        </w:rPr>
        <w:t>Balcarras</w:t>
      </w:r>
      <w:proofErr w:type="spellEnd"/>
      <w:r w:rsidRPr="0002460A">
        <w:rPr>
          <w:rFonts w:cs="Arial"/>
          <w:sz w:val="20"/>
          <w:szCs w:val="20"/>
        </w:rPr>
        <w:t xml:space="preserve"> Teaching School, Cheltenham)</w:t>
      </w:r>
    </w:p>
    <w:p w:rsidR="004D439A" w:rsidRPr="0002460A" w:rsidRDefault="004D439A" w:rsidP="004D439A">
      <w:pPr>
        <w:rPr>
          <w:rFonts w:cs="Arial"/>
          <w:b/>
          <w:sz w:val="20"/>
          <w:szCs w:val="20"/>
        </w:rPr>
      </w:pPr>
      <w:r w:rsidRPr="0002460A">
        <w:rPr>
          <w:rFonts w:cs="Arial"/>
          <w:b/>
          <w:sz w:val="20"/>
          <w:szCs w:val="20"/>
        </w:rPr>
        <w:t>West Midlands Region:</w:t>
      </w:r>
    </w:p>
    <w:p w:rsidR="004D439A" w:rsidRPr="0002460A" w:rsidRDefault="004D439A" w:rsidP="004D439A">
      <w:pPr>
        <w:rPr>
          <w:rFonts w:cs="Arial"/>
          <w:sz w:val="20"/>
          <w:szCs w:val="20"/>
        </w:rPr>
      </w:pPr>
      <w:r w:rsidRPr="00427C60">
        <w:rPr>
          <w:rFonts w:cs="Arial"/>
          <w:color w:val="44546A" w:themeColor="text2"/>
          <w:sz w:val="20"/>
          <w:szCs w:val="20"/>
          <w:highlight w:val="yellow"/>
        </w:rPr>
        <w:t>Central Maths Hub</w:t>
      </w:r>
      <w:r w:rsidRPr="00427C60">
        <w:rPr>
          <w:rFonts w:cs="Arial"/>
          <w:sz w:val="20"/>
          <w:szCs w:val="20"/>
          <w:highlight w:val="yellow"/>
        </w:rPr>
        <w:t xml:space="preserve"> (Bishop Challoner Catholic College, Birmingham)</w:t>
      </w:r>
      <w:r w:rsidR="00427C60">
        <w:rPr>
          <w:rFonts w:cs="Arial"/>
          <w:sz w:val="20"/>
          <w:szCs w:val="20"/>
        </w:rPr>
        <w:t xml:space="preserve"> </w:t>
      </w:r>
      <w:r w:rsidR="00427C60" w:rsidRPr="00427C60">
        <w:rPr>
          <w:rFonts w:cs="Arial"/>
          <w:sz w:val="20"/>
          <w:szCs w:val="20"/>
          <w:highlight w:val="yellow"/>
        </w:rPr>
        <w:t>– email us mathshub@bishopchalloner.bham.sch.uk</w:t>
      </w:r>
      <w:bookmarkStart w:id="0" w:name="_GoBack"/>
      <w:bookmarkEnd w:id="0"/>
    </w:p>
    <w:p w:rsidR="004D439A" w:rsidRPr="0002460A" w:rsidRDefault="004D439A" w:rsidP="004D439A">
      <w:pPr>
        <w:rPr>
          <w:rFonts w:cs="Arial"/>
          <w:sz w:val="20"/>
          <w:szCs w:val="20"/>
        </w:rPr>
      </w:pPr>
      <w:r w:rsidRPr="0002460A">
        <w:rPr>
          <w:rFonts w:cs="Arial"/>
          <w:color w:val="44546A" w:themeColor="text2"/>
          <w:sz w:val="20"/>
          <w:szCs w:val="20"/>
        </w:rPr>
        <w:t>Salop and Herefordshire Maths Hub</w:t>
      </w:r>
      <w:r w:rsidRPr="0002460A">
        <w:rPr>
          <w:rFonts w:cs="Arial"/>
          <w:sz w:val="20"/>
          <w:szCs w:val="20"/>
        </w:rPr>
        <w:t xml:space="preserve"> (The Priory School, Shrewsbury)</w:t>
      </w:r>
    </w:p>
    <w:p w:rsidR="004D439A" w:rsidRPr="0002460A" w:rsidRDefault="004D439A" w:rsidP="004D439A">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Mids</w:t>
      </w:r>
      <w:proofErr w:type="spellEnd"/>
      <w:r w:rsidRPr="0002460A">
        <w:rPr>
          <w:rFonts w:cs="Arial"/>
          <w:color w:val="44546A" w:themeColor="text2"/>
          <w:sz w:val="20"/>
          <w:szCs w:val="20"/>
        </w:rPr>
        <w:t xml:space="preserve"> and Peaks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sidRPr="0002460A">
        <w:rPr>
          <w:rFonts w:cs="Arial"/>
          <w:sz w:val="20"/>
          <w:szCs w:val="20"/>
        </w:rPr>
        <w:t>Painsley</w:t>
      </w:r>
      <w:proofErr w:type="spellEnd"/>
      <w:r w:rsidRPr="0002460A">
        <w:rPr>
          <w:rFonts w:cs="Arial"/>
          <w:sz w:val="20"/>
          <w:szCs w:val="20"/>
        </w:rPr>
        <w:t xml:space="preserve"> Catholic College, Cheadle</w:t>
      </w:r>
      <w:r>
        <w:rPr>
          <w:rFonts w:cs="Arial"/>
          <w:sz w:val="20"/>
          <w:szCs w:val="20"/>
        </w:rPr>
        <w:t>, Staffordshire</w:t>
      </w:r>
      <w:r w:rsidRPr="0002460A">
        <w:rPr>
          <w:rFonts w:cs="Arial"/>
          <w:sz w:val="20"/>
          <w:szCs w:val="20"/>
        </w:rPr>
        <w:t>)</w:t>
      </w:r>
    </w:p>
    <w:p w:rsidR="004D439A" w:rsidRPr="0002460A" w:rsidRDefault="004D439A" w:rsidP="004D439A">
      <w:pPr>
        <w:rPr>
          <w:rFonts w:cs="Arial"/>
          <w:b/>
          <w:sz w:val="20"/>
          <w:szCs w:val="20"/>
        </w:rPr>
      </w:pPr>
      <w:r w:rsidRPr="0002460A">
        <w:rPr>
          <w:rFonts w:cs="Arial"/>
          <w:b/>
          <w:sz w:val="20"/>
          <w:szCs w:val="20"/>
        </w:rPr>
        <w:t>North West Region:</w:t>
      </w:r>
    </w:p>
    <w:p w:rsidR="004D439A" w:rsidRPr="0002460A" w:rsidRDefault="004D439A" w:rsidP="004D439A">
      <w:pPr>
        <w:rPr>
          <w:rFonts w:cs="Arial"/>
          <w:sz w:val="20"/>
          <w:szCs w:val="20"/>
        </w:rPr>
      </w:pPr>
      <w:r w:rsidRPr="0002460A">
        <w:rPr>
          <w:rFonts w:cs="Arial"/>
          <w:color w:val="44546A" w:themeColor="text2"/>
          <w:sz w:val="20"/>
          <w:szCs w:val="20"/>
        </w:rPr>
        <w:t xml:space="preserve">North West One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sidRPr="0002460A">
        <w:rPr>
          <w:rFonts w:cs="Arial"/>
          <w:sz w:val="20"/>
          <w:szCs w:val="20"/>
        </w:rPr>
        <w:t>Altrincham</w:t>
      </w:r>
      <w:proofErr w:type="spellEnd"/>
      <w:r w:rsidRPr="0002460A">
        <w:rPr>
          <w:rFonts w:cs="Arial"/>
          <w:sz w:val="20"/>
          <w:szCs w:val="20"/>
        </w:rPr>
        <w:t xml:space="preserve"> Grammar School for Girls)</w:t>
      </w:r>
    </w:p>
    <w:p w:rsidR="004D439A" w:rsidRPr="0002460A" w:rsidRDefault="004D439A" w:rsidP="004D439A">
      <w:pPr>
        <w:rPr>
          <w:rFonts w:cs="Arial"/>
          <w:sz w:val="20"/>
          <w:szCs w:val="20"/>
        </w:rPr>
      </w:pPr>
      <w:r w:rsidRPr="0002460A">
        <w:rPr>
          <w:rFonts w:cs="Arial"/>
          <w:color w:val="44546A" w:themeColor="text2"/>
          <w:sz w:val="20"/>
          <w:szCs w:val="20"/>
        </w:rPr>
        <w:t>North West Two Maths Hub</w:t>
      </w:r>
      <w:r w:rsidRPr="0002460A">
        <w:rPr>
          <w:rFonts w:cs="Arial"/>
          <w:sz w:val="20"/>
          <w:szCs w:val="20"/>
        </w:rPr>
        <w:t xml:space="preserve"> (Ashton on Mersey School, Manchester)</w:t>
      </w:r>
    </w:p>
    <w:p w:rsidR="004D439A" w:rsidRPr="0002460A" w:rsidRDefault="004D439A" w:rsidP="004D439A">
      <w:pPr>
        <w:rPr>
          <w:rFonts w:cs="Arial"/>
          <w:sz w:val="20"/>
          <w:szCs w:val="20"/>
        </w:rPr>
      </w:pPr>
      <w:r w:rsidRPr="0002460A">
        <w:rPr>
          <w:rFonts w:cs="Arial"/>
          <w:color w:val="44546A" w:themeColor="text2"/>
          <w:sz w:val="20"/>
          <w:szCs w:val="20"/>
        </w:rPr>
        <w:t>North West Three Maths Hub</w:t>
      </w:r>
      <w:r w:rsidRPr="0002460A">
        <w:rPr>
          <w:rFonts w:cs="Arial"/>
          <w:sz w:val="20"/>
          <w:szCs w:val="20"/>
        </w:rPr>
        <w:t xml:space="preserve"> (St Helen’s Teaching School Alliance)</w:t>
      </w:r>
    </w:p>
    <w:p w:rsidR="004D439A" w:rsidRPr="0002460A" w:rsidRDefault="004D439A" w:rsidP="004D439A">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North</w:t>
      </w:r>
      <w:proofErr w:type="spellEnd"/>
      <w:r w:rsidRPr="0002460A">
        <w:rPr>
          <w:rFonts w:cs="Arial"/>
          <w:color w:val="44546A" w:themeColor="text2"/>
          <w:sz w:val="20"/>
          <w:szCs w:val="20"/>
        </w:rPr>
        <w:t xml:space="preserve"> West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(Lancaster</w:t>
      </w:r>
      <w:r>
        <w:rPr>
          <w:rFonts w:cs="Arial"/>
          <w:sz w:val="20"/>
          <w:szCs w:val="20"/>
        </w:rPr>
        <w:t xml:space="preserve"> Royal</w:t>
      </w:r>
      <w:r w:rsidRPr="0002460A">
        <w:rPr>
          <w:rFonts w:cs="Arial"/>
          <w:sz w:val="20"/>
          <w:szCs w:val="20"/>
        </w:rPr>
        <w:t xml:space="preserve"> Grammar School)</w:t>
      </w:r>
    </w:p>
    <w:p w:rsidR="004D439A" w:rsidRPr="0002460A" w:rsidRDefault="004D439A" w:rsidP="004D439A">
      <w:pPr>
        <w:rPr>
          <w:rFonts w:cs="Arial"/>
          <w:b/>
          <w:sz w:val="20"/>
          <w:szCs w:val="20"/>
        </w:rPr>
      </w:pPr>
      <w:r w:rsidRPr="0002460A">
        <w:rPr>
          <w:rFonts w:cs="Arial"/>
          <w:b/>
          <w:sz w:val="20"/>
          <w:szCs w:val="20"/>
        </w:rPr>
        <w:t>North East Region:</w:t>
      </w:r>
    </w:p>
    <w:p w:rsidR="004D439A" w:rsidRPr="0002460A" w:rsidRDefault="004D439A" w:rsidP="004D439A">
      <w:pPr>
        <w:rPr>
          <w:rFonts w:cs="Arial"/>
          <w:sz w:val="20"/>
          <w:szCs w:val="20"/>
        </w:rPr>
      </w:pPr>
      <w:r w:rsidRPr="0002460A">
        <w:rPr>
          <w:rFonts w:cs="Arial"/>
          <w:color w:val="44546A" w:themeColor="text2"/>
          <w:sz w:val="20"/>
          <w:szCs w:val="20"/>
        </w:rPr>
        <w:t xml:space="preserve">Great North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(North </w:t>
      </w:r>
      <w:proofErr w:type="spellStart"/>
      <w:r w:rsidRPr="0002460A">
        <w:rPr>
          <w:rFonts w:cs="Arial"/>
          <w:sz w:val="20"/>
          <w:szCs w:val="20"/>
        </w:rPr>
        <w:t>Tyneside</w:t>
      </w:r>
      <w:proofErr w:type="spellEnd"/>
      <w:r w:rsidRPr="0002460A">
        <w:rPr>
          <w:rFonts w:cs="Arial"/>
          <w:sz w:val="20"/>
          <w:szCs w:val="20"/>
        </w:rPr>
        <w:t xml:space="preserve"> Learning Trust)</w:t>
      </w:r>
    </w:p>
    <w:p w:rsidR="004D439A" w:rsidRPr="0002460A" w:rsidRDefault="004D439A" w:rsidP="004D439A">
      <w:pPr>
        <w:spacing w:after="120"/>
        <w:rPr>
          <w:rFonts w:cs="Arial"/>
          <w:sz w:val="20"/>
          <w:szCs w:val="20"/>
        </w:rPr>
      </w:pPr>
      <w:r w:rsidRPr="0002460A">
        <w:rPr>
          <w:rFonts w:cs="Arial"/>
          <w:color w:val="44546A" w:themeColor="text2"/>
          <w:sz w:val="20"/>
          <w:szCs w:val="20"/>
        </w:rPr>
        <w:t>Archimedes NE Maths Hub</w:t>
      </w:r>
      <w:r w:rsidRPr="0002460A">
        <w:rPr>
          <w:rFonts w:cs="Arial"/>
          <w:sz w:val="20"/>
          <w:szCs w:val="20"/>
        </w:rPr>
        <w:t xml:space="preserve"> (Carmel College, Darlington)</w:t>
      </w:r>
    </w:p>
    <w:p w:rsidR="004D439A" w:rsidRPr="0002460A" w:rsidRDefault="004D439A" w:rsidP="004D439A">
      <w:pPr>
        <w:rPr>
          <w:rFonts w:cs="Arial"/>
          <w:b/>
          <w:sz w:val="20"/>
          <w:szCs w:val="20"/>
        </w:rPr>
      </w:pPr>
      <w:r w:rsidRPr="0002460A">
        <w:rPr>
          <w:rFonts w:cs="Arial"/>
          <w:b/>
          <w:sz w:val="20"/>
          <w:szCs w:val="20"/>
        </w:rPr>
        <w:t>Yorkshire and the Humber Region:</w:t>
      </w:r>
    </w:p>
    <w:p w:rsidR="004D439A" w:rsidRPr="0002460A" w:rsidRDefault="004D439A" w:rsidP="004D439A">
      <w:pPr>
        <w:rPr>
          <w:rFonts w:cs="Arial"/>
          <w:sz w:val="20"/>
          <w:szCs w:val="20"/>
        </w:rPr>
      </w:pPr>
      <w:r w:rsidRPr="0002460A">
        <w:rPr>
          <w:rFonts w:cs="Arial"/>
          <w:color w:val="44546A" w:themeColor="text2"/>
          <w:sz w:val="20"/>
          <w:szCs w:val="20"/>
        </w:rPr>
        <w:t>Yorkshire Ridings Maths Hub</w:t>
      </w:r>
      <w:r w:rsidRPr="0002460A">
        <w:rPr>
          <w:rFonts w:cs="Arial"/>
          <w:sz w:val="20"/>
          <w:szCs w:val="20"/>
        </w:rPr>
        <w:t xml:space="preserve"> (Harrogate Grammar School)</w:t>
      </w:r>
    </w:p>
    <w:p w:rsidR="004D439A" w:rsidRPr="0002460A" w:rsidRDefault="004D439A" w:rsidP="004D439A">
      <w:pPr>
        <w:rPr>
          <w:rFonts w:cs="Arial"/>
          <w:sz w:val="20"/>
          <w:szCs w:val="20"/>
        </w:rPr>
      </w:pPr>
      <w:r w:rsidRPr="0002460A">
        <w:rPr>
          <w:rFonts w:cs="Arial"/>
          <w:color w:val="44546A" w:themeColor="text2"/>
          <w:sz w:val="20"/>
          <w:szCs w:val="20"/>
        </w:rPr>
        <w:t>White Rose Maths Hub</w:t>
      </w:r>
      <w:r w:rsidRPr="0002460A">
        <w:rPr>
          <w:rFonts w:cs="Arial"/>
          <w:sz w:val="20"/>
          <w:szCs w:val="20"/>
        </w:rPr>
        <w:t xml:space="preserve"> (Trinity Academy, Halifax)</w:t>
      </w:r>
    </w:p>
    <w:p w:rsidR="004D439A" w:rsidRPr="0002460A" w:rsidRDefault="004D439A" w:rsidP="004D439A">
      <w:pPr>
        <w:rPr>
          <w:rFonts w:cs="Arial"/>
          <w:sz w:val="20"/>
          <w:szCs w:val="20"/>
        </w:rPr>
      </w:pPr>
      <w:r w:rsidRPr="0002460A">
        <w:rPr>
          <w:rFonts w:cs="Arial"/>
          <w:color w:val="44546A" w:themeColor="text2"/>
          <w:sz w:val="20"/>
          <w:szCs w:val="20"/>
        </w:rPr>
        <w:t xml:space="preserve">Yorkshire and the Humber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sidRPr="0002460A">
        <w:rPr>
          <w:rFonts w:cs="Arial"/>
          <w:sz w:val="20"/>
          <w:szCs w:val="20"/>
        </w:rPr>
        <w:t>Outwood</w:t>
      </w:r>
      <w:proofErr w:type="spellEnd"/>
      <w:r>
        <w:rPr>
          <w:rFonts w:cs="Arial"/>
          <w:sz w:val="20"/>
          <w:szCs w:val="20"/>
        </w:rPr>
        <w:t xml:space="preserve"> Grange Academies Trust, Wakefield</w:t>
      </w:r>
      <w:r w:rsidRPr="0002460A">
        <w:rPr>
          <w:rFonts w:cs="Arial"/>
          <w:sz w:val="20"/>
          <w:szCs w:val="20"/>
        </w:rPr>
        <w:t>)</w:t>
      </w:r>
    </w:p>
    <w:p w:rsidR="004D439A" w:rsidRPr="0002460A" w:rsidRDefault="004D439A" w:rsidP="004D439A">
      <w:pPr>
        <w:spacing w:after="120"/>
        <w:rPr>
          <w:rFonts w:cs="Arial"/>
          <w:sz w:val="20"/>
          <w:szCs w:val="20"/>
        </w:rPr>
      </w:pPr>
      <w:r w:rsidRPr="0002460A">
        <w:rPr>
          <w:rFonts w:cs="Arial"/>
          <w:color w:val="44546A" w:themeColor="text2"/>
          <w:sz w:val="20"/>
          <w:szCs w:val="20"/>
        </w:rPr>
        <w:t>South Yorkshire Maths Hub</w:t>
      </w:r>
      <w:r>
        <w:rPr>
          <w:rFonts w:cs="Arial"/>
          <w:sz w:val="20"/>
          <w:szCs w:val="20"/>
        </w:rPr>
        <w:t xml:space="preserve"> (Notre Dame High School, Sheffield</w:t>
      </w:r>
      <w:r w:rsidRPr="0002460A">
        <w:rPr>
          <w:rFonts w:cs="Arial"/>
          <w:sz w:val="20"/>
          <w:szCs w:val="20"/>
        </w:rPr>
        <w:t>)</w:t>
      </w:r>
    </w:p>
    <w:p w:rsidR="004D439A" w:rsidRPr="0002460A" w:rsidRDefault="004D439A" w:rsidP="004D439A">
      <w:pPr>
        <w:rPr>
          <w:rFonts w:cs="Arial"/>
          <w:b/>
          <w:sz w:val="20"/>
          <w:szCs w:val="20"/>
        </w:rPr>
      </w:pPr>
      <w:r w:rsidRPr="0002460A">
        <w:rPr>
          <w:rFonts w:cs="Arial"/>
          <w:b/>
          <w:sz w:val="20"/>
          <w:szCs w:val="20"/>
        </w:rPr>
        <w:t>East Midlands Region:</w:t>
      </w:r>
    </w:p>
    <w:p w:rsidR="004D439A" w:rsidRPr="0002460A" w:rsidRDefault="004D439A" w:rsidP="004D439A">
      <w:pPr>
        <w:rPr>
          <w:rFonts w:cs="Arial"/>
          <w:sz w:val="20"/>
          <w:szCs w:val="20"/>
        </w:rPr>
      </w:pPr>
      <w:r w:rsidRPr="0002460A">
        <w:rPr>
          <w:rFonts w:cs="Arial"/>
          <w:color w:val="44546A" w:themeColor="text2"/>
          <w:sz w:val="20"/>
          <w:szCs w:val="20"/>
        </w:rPr>
        <w:t>East Midlands West Maths Hub</w:t>
      </w:r>
      <w:r w:rsidRPr="0002460A">
        <w:rPr>
          <w:rFonts w:cs="Arial"/>
          <w:sz w:val="20"/>
          <w:szCs w:val="20"/>
        </w:rPr>
        <w:t xml:space="preserve"> (George Spencer Academy</w:t>
      </w:r>
      <w:r>
        <w:rPr>
          <w:rFonts w:cs="Arial"/>
          <w:sz w:val="20"/>
          <w:szCs w:val="20"/>
        </w:rPr>
        <w:t xml:space="preserve"> &amp; Technology College, Stapleford, </w:t>
      </w:r>
      <w:r w:rsidRPr="0002460A">
        <w:rPr>
          <w:rFonts w:cs="Arial"/>
          <w:sz w:val="20"/>
          <w:szCs w:val="20"/>
        </w:rPr>
        <w:t>Nottinghamshire)</w:t>
      </w:r>
    </w:p>
    <w:p w:rsidR="004D439A" w:rsidRPr="0002460A" w:rsidRDefault="004D439A" w:rsidP="004D439A">
      <w:pPr>
        <w:rPr>
          <w:rFonts w:cs="Arial"/>
          <w:sz w:val="20"/>
          <w:szCs w:val="20"/>
        </w:rPr>
      </w:pPr>
      <w:r w:rsidRPr="0002460A">
        <w:rPr>
          <w:rFonts w:cs="Arial"/>
          <w:color w:val="44546A" w:themeColor="text2"/>
          <w:sz w:val="20"/>
          <w:szCs w:val="20"/>
        </w:rPr>
        <w:t xml:space="preserve">East Midlands East Maths Hub </w:t>
      </w:r>
      <w:r w:rsidRPr="0002460A">
        <w:rPr>
          <w:rFonts w:cs="Arial"/>
          <w:sz w:val="20"/>
          <w:szCs w:val="20"/>
        </w:rPr>
        <w:t xml:space="preserve">(The Minster School, </w:t>
      </w:r>
      <w:proofErr w:type="spellStart"/>
      <w:r>
        <w:rPr>
          <w:rFonts w:cs="Arial"/>
          <w:sz w:val="20"/>
          <w:szCs w:val="20"/>
        </w:rPr>
        <w:t>Southwell</w:t>
      </w:r>
      <w:proofErr w:type="spellEnd"/>
      <w:r>
        <w:rPr>
          <w:rFonts w:cs="Arial"/>
          <w:sz w:val="20"/>
          <w:szCs w:val="20"/>
        </w:rPr>
        <w:t xml:space="preserve">, </w:t>
      </w:r>
      <w:r w:rsidRPr="0002460A">
        <w:rPr>
          <w:rFonts w:cs="Arial"/>
          <w:sz w:val="20"/>
          <w:szCs w:val="20"/>
        </w:rPr>
        <w:t>Nottinghamshire)</w:t>
      </w:r>
    </w:p>
    <w:p w:rsidR="004D439A" w:rsidRPr="0002460A" w:rsidRDefault="004D439A" w:rsidP="004D439A">
      <w:pPr>
        <w:spacing w:after="120"/>
        <w:rPr>
          <w:rFonts w:cs="Arial"/>
          <w:sz w:val="20"/>
          <w:szCs w:val="20"/>
        </w:rPr>
      </w:pPr>
      <w:r w:rsidRPr="0002460A">
        <w:rPr>
          <w:rFonts w:cs="Arial"/>
          <w:color w:val="44546A" w:themeColor="text2"/>
          <w:sz w:val="20"/>
          <w:szCs w:val="20"/>
        </w:rPr>
        <w:t>East Midlands South Maths Hub</w:t>
      </w:r>
      <w:r w:rsidRPr="0002460A">
        <w:rPr>
          <w:rFonts w:cs="Arial"/>
          <w:sz w:val="20"/>
          <w:szCs w:val="20"/>
        </w:rPr>
        <w:t xml:space="preserve"> (</w:t>
      </w:r>
      <w:r w:rsidRPr="0002460A">
        <w:rPr>
          <w:rFonts w:cs="Arial"/>
          <w:sz w:val="20"/>
          <w:szCs w:val="20"/>
          <w:shd w:val="clear" w:color="auto" w:fill="FFFFFF"/>
        </w:rPr>
        <w:t xml:space="preserve">Beauchamp College, </w:t>
      </w:r>
      <w:proofErr w:type="spellStart"/>
      <w:r w:rsidRPr="0002460A">
        <w:rPr>
          <w:rFonts w:cs="Arial"/>
          <w:sz w:val="20"/>
          <w:szCs w:val="20"/>
          <w:shd w:val="clear" w:color="auto" w:fill="FFFFFF"/>
        </w:rPr>
        <w:t>Oadby</w:t>
      </w:r>
      <w:proofErr w:type="spellEnd"/>
      <w:r w:rsidRPr="0002460A">
        <w:rPr>
          <w:rFonts w:cs="Arial"/>
          <w:sz w:val="20"/>
          <w:szCs w:val="20"/>
          <w:shd w:val="clear" w:color="auto" w:fill="FFFFFF"/>
        </w:rPr>
        <w:t>, Leicestershire)</w:t>
      </w:r>
    </w:p>
    <w:p w:rsidR="004D439A" w:rsidRPr="0002460A" w:rsidRDefault="004D439A" w:rsidP="004D439A">
      <w:pPr>
        <w:rPr>
          <w:rFonts w:cs="Arial"/>
          <w:b/>
          <w:sz w:val="20"/>
          <w:szCs w:val="20"/>
        </w:rPr>
      </w:pPr>
      <w:r w:rsidRPr="0002460A">
        <w:rPr>
          <w:rFonts w:cs="Arial"/>
          <w:b/>
          <w:sz w:val="20"/>
          <w:szCs w:val="20"/>
        </w:rPr>
        <w:t>East of England Region:</w:t>
      </w:r>
    </w:p>
    <w:p w:rsidR="004D439A" w:rsidRPr="0002460A" w:rsidRDefault="004D439A" w:rsidP="004D439A">
      <w:pPr>
        <w:rPr>
          <w:rFonts w:cs="Arial"/>
          <w:sz w:val="20"/>
          <w:szCs w:val="20"/>
        </w:rPr>
      </w:pPr>
      <w:r w:rsidRPr="0002460A">
        <w:rPr>
          <w:rFonts w:cs="Arial"/>
          <w:color w:val="44546A" w:themeColor="text2"/>
          <w:sz w:val="20"/>
          <w:szCs w:val="20"/>
        </w:rPr>
        <w:t>Enigma Maths Hub</w:t>
      </w:r>
      <w:r w:rsidRPr="0002460A">
        <w:rPr>
          <w:rFonts w:cs="Arial"/>
          <w:sz w:val="20"/>
          <w:szCs w:val="20"/>
        </w:rPr>
        <w:t xml:space="preserve"> (</w:t>
      </w:r>
      <w:r>
        <w:rPr>
          <w:rFonts w:cs="Arial"/>
          <w:sz w:val="20"/>
          <w:szCs w:val="20"/>
          <w:shd w:val="clear" w:color="auto" w:fill="FFFFFF"/>
        </w:rPr>
        <w:t xml:space="preserve">Denbigh </w:t>
      </w:r>
      <w:r w:rsidRPr="0002460A">
        <w:rPr>
          <w:rFonts w:cs="Arial"/>
          <w:sz w:val="20"/>
          <w:szCs w:val="20"/>
          <w:shd w:val="clear" w:color="auto" w:fill="FFFFFF"/>
        </w:rPr>
        <w:t>School</w:t>
      </w:r>
      <w:r>
        <w:rPr>
          <w:rFonts w:cs="Arial"/>
          <w:sz w:val="20"/>
          <w:szCs w:val="20"/>
          <w:shd w:val="clear" w:color="auto" w:fill="FFFFFF"/>
        </w:rPr>
        <w:t>, Milton Keynes</w:t>
      </w:r>
      <w:r w:rsidRPr="0002460A">
        <w:rPr>
          <w:rFonts w:cs="Arial"/>
          <w:sz w:val="20"/>
          <w:szCs w:val="20"/>
          <w:shd w:val="clear" w:color="auto" w:fill="FFFFFF"/>
        </w:rPr>
        <w:t>)</w:t>
      </w:r>
    </w:p>
    <w:p w:rsidR="004D439A" w:rsidRPr="0002460A" w:rsidRDefault="004D439A" w:rsidP="004D439A">
      <w:pPr>
        <w:rPr>
          <w:rFonts w:cs="Arial"/>
          <w:sz w:val="20"/>
          <w:szCs w:val="20"/>
        </w:rPr>
      </w:pPr>
      <w:r w:rsidRPr="0002460A">
        <w:rPr>
          <w:rFonts w:cs="Arial"/>
          <w:color w:val="44546A" w:themeColor="text2"/>
          <w:sz w:val="20"/>
          <w:szCs w:val="20"/>
        </w:rPr>
        <w:t xml:space="preserve">Cambridge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sidRPr="0002460A">
        <w:rPr>
          <w:rFonts w:cs="Arial"/>
          <w:sz w:val="20"/>
          <w:szCs w:val="20"/>
          <w:shd w:val="clear" w:color="auto" w:fill="FFFFFF"/>
        </w:rPr>
        <w:t>Comberton</w:t>
      </w:r>
      <w:proofErr w:type="spellEnd"/>
      <w:r w:rsidRPr="0002460A">
        <w:rPr>
          <w:rFonts w:cs="Arial"/>
          <w:sz w:val="20"/>
          <w:szCs w:val="20"/>
          <w:shd w:val="clear" w:color="auto" w:fill="FFFFFF"/>
        </w:rPr>
        <w:t xml:space="preserve"> Village College, Cambridge)</w:t>
      </w:r>
    </w:p>
    <w:p w:rsidR="004D439A" w:rsidRPr="0002460A" w:rsidRDefault="004D439A" w:rsidP="004D439A">
      <w:pPr>
        <w:rPr>
          <w:rFonts w:cs="Arial"/>
          <w:sz w:val="20"/>
          <w:szCs w:val="20"/>
        </w:rPr>
      </w:pPr>
      <w:r w:rsidRPr="0002460A">
        <w:rPr>
          <w:rFonts w:cs="Arial"/>
          <w:color w:val="44546A" w:themeColor="text2"/>
          <w:sz w:val="20"/>
          <w:szCs w:val="20"/>
        </w:rPr>
        <w:t xml:space="preserve">Matrix Essex and </w:t>
      </w:r>
      <w:proofErr w:type="spellStart"/>
      <w:r w:rsidRPr="0002460A">
        <w:rPr>
          <w:rFonts w:cs="Arial"/>
          <w:color w:val="44546A" w:themeColor="text2"/>
          <w:sz w:val="20"/>
          <w:szCs w:val="20"/>
        </w:rPr>
        <w:t>Herts</w:t>
      </w:r>
      <w:proofErr w:type="spellEnd"/>
      <w:r w:rsidRPr="0002460A">
        <w:rPr>
          <w:rFonts w:cs="Arial"/>
          <w:color w:val="44546A" w:themeColor="text2"/>
          <w:sz w:val="20"/>
          <w:szCs w:val="20"/>
        </w:rPr>
        <w:t xml:space="preserve">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r w:rsidRPr="0002460A">
        <w:rPr>
          <w:rFonts w:cs="Arial"/>
          <w:sz w:val="20"/>
          <w:szCs w:val="20"/>
          <w:shd w:val="clear" w:color="auto" w:fill="FFFFFF"/>
        </w:rPr>
        <w:t>The Hertfordshire and Essex High School</w:t>
      </w:r>
      <w:r>
        <w:rPr>
          <w:rFonts w:cs="Arial"/>
          <w:sz w:val="20"/>
          <w:szCs w:val="20"/>
          <w:shd w:val="clear" w:color="auto" w:fill="FFFFFF"/>
        </w:rPr>
        <w:t xml:space="preserve"> &amp; Science College, Bishop’s </w:t>
      </w:r>
      <w:proofErr w:type="spellStart"/>
      <w:r>
        <w:rPr>
          <w:rFonts w:cs="Arial"/>
          <w:sz w:val="20"/>
          <w:szCs w:val="20"/>
          <w:shd w:val="clear" w:color="auto" w:fill="FFFFFF"/>
        </w:rPr>
        <w:t>Stortford</w:t>
      </w:r>
      <w:proofErr w:type="spellEnd"/>
      <w:r w:rsidRPr="0002460A">
        <w:rPr>
          <w:rFonts w:cs="Arial"/>
          <w:sz w:val="20"/>
          <w:szCs w:val="20"/>
          <w:shd w:val="clear" w:color="auto" w:fill="FFFFFF"/>
        </w:rPr>
        <w:t>)</w:t>
      </w:r>
    </w:p>
    <w:p w:rsidR="004D439A" w:rsidRPr="0002460A" w:rsidRDefault="004D439A" w:rsidP="004D439A">
      <w:pPr>
        <w:spacing w:after="120"/>
        <w:rPr>
          <w:rFonts w:cs="Arial"/>
          <w:sz w:val="20"/>
          <w:szCs w:val="20"/>
        </w:rPr>
      </w:pPr>
      <w:r w:rsidRPr="0002460A">
        <w:rPr>
          <w:rFonts w:cs="Arial"/>
          <w:color w:val="44546A" w:themeColor="text2"/>
          <w:sz w:val="20"/>
          <w:szCs w:val="20"/>
        </w:rPr>
        <w:t>Norfolk and Suffolk Maths Hub</w:t>
      </w:r>
      <w:r w:rsidRPr="0002460A">
        <w:rPr>
          <w:rFonts w:cs="Arial"/>
          <w:sz w:val="20"/>
          <w:szCs w:val="20"/>
        </w:rPr>
        <w:t xml:space="preserve"> (</w:t>
      </w:r>
      <w:r>
        <w:rPr>
          <w:rFonts w:cs="Arial"/>
          <w:sz w:val="20"/>
          <w:szCs w:val="20"/>
          <w:shd w:val="clear" w:color="auto" w:fill="FFFFFF"/>
        </w:rPr>
        <w:t xml:space="preserve">Sir Isaac Newton Sixth Form, Norwich with </w:t>
      </w:r>
      <w:proofErr w:type="spellStart"/>
      <w:r w:rsidRPr="0002460A">
        <w:rPr>
          <w:rFonts w:cs="Arial"/>
          <w:sz w:val="20"/>
          <w:szCs w:val="20"/>
          <w:shd w:val="clear" w:color="auto" w:fill="FFFFFF"/>
        </w:rPr>
        <w:t>Kesgrave</w:t>
      </w:r>
      <w:proofErr w:type="spellEnd"/>
      <w:r w:rsidRPr="0002460A">
        <w:rPr>
          <w:rFonts w:cs="Arial"/>
          <w:sz w:val="20"/>
          <w:szCs w:val="20"/>
          <w:shd w:val="clear" w:color="auto" w:fill="FFFFFF"/>
        </w:rPr>
        <w:t xml:space="preserve"> High School, Ipswich)</w:t>
      </w:r>
    </w:p>
    <w:p w:rsidR="004D439A" w:rsidRPr="0002460A" w:rsidRDefault="004D439A" w:rsidP="004D439A">
      <w:pPr>
        <w:rPr>
          <w:rFonts w:cs="Arial"/>
          <w:b/>
          <w:sz w:val="20"/>
          <w:szCs w:val="20"/>
        </w:rPr>
      </w:pPr>
      <w:r w:rsidRPr="0002460A">
        <w:rPr>
          <w:rFonts w:cs="Arial"/>
          <w:b/>
          <w:sz w:val="20"/>
          <w:szCs w:val="20"/>
        </w:rPr>
        <w:t>South East Region:</w:t>
      </w:r>
    </w:p>
    <w:p w:rsidR="004D439A" w:rsidRPr="0002460A" w:rsidRDefault="004D439A" w:rsidP="004D439A">
      <w:pPr>
        <w:rPr>
          <w:rFonts w:cs="Arial"/>
          <w:sz w:val="20"/>
          <w:szCs w:val="20"/>
        </w:rPr>
      </w:pPr>
      <w:r w:rsidRPr="0002460A">
        <w:rPr>
          <w:rFonts w:cs="Arial"/>
          <w:color w:val="44546A" w:themeColor="text2"/>
          <w:sz w:val="20"/>
          <w:szCs w:val="20"/>
        </w:rPr>
        <w:t>Bucks, Berks and Oxon Maths Hub</w:t>
      </w:r>
      <w:r w:rsidRPr="0002460A">
        <w:rPr>
          <w:rFonts w:cs="Arial"/>
          <w:sz w:val="20"/>
          <w:szCs w:val="20"/>
        </w:rPr>
        <w:t xml:space="preserve"> (</w:t>
      </w:r>
      <w:r w:rsidRPr="0002460A">
        <w:rPr>
          <w:rFonts w:cs="Arial"/>
          <w:sz w:val="20"/>
          <w:szCs w:val="20"/>
          <w:shd w:val="clear" w:color="auto" w:fill="FFFFFF"/>
        </w:rPr>
        <w:t>Wycombe High School, High Wycombe)</w:t>
      </w:r>
    </w:p>
    <w:p w:rsidR="004D439A" w:rsidRPr="0002460A" w:rsidRDefault="004D439A" w:rsidP="004D439A">
      <w:pPr>
        <w:rPr>
          <w:rFonts w:cs="Arial"/>
          <w:sz w:val="20"/>
          <w:szCs w:val="20"/>
        </w:rPr>
      </w:pPr>
      <w:r w:rsidRPr="0002460A">
        <w:rPr>
          <w:rFonts w:cs="Arial"/>
          <w:color w:val="44546A" w:themeColor="text2"/>
          <w:sz w:val="20"/>
          <w:szCs w:val="20"/>
        </w:rPr>
        <w:t xml:space="preserve">Surrey </w:t>
      </w:r>
      <w:proofErr w:type="gramStart"/>
      <w:r w:rsidRPr="0002460A">
        <w:rPr>
          <w:rFonts w:cs="Arial"/>
          <w:color w:val="44546A" w:themeColor="text2"/>
          <w:sz w:val="20"/>
          <w:szCs w:val="20"/>
        </w:rPr>
        <w:t>Plus</w:t>
      </w:r>
      <w:proofErr w:type="gramEnd"/>
      <w:r w:rsidRPr="0002460A">
        <w:rPr>
          <w:rFonts w:cs="Arial"/>
          <w:sz w:val="20"/>
          <w:szCs w:val="20"/>
        </w:rPr>
        <w:t xml:space="preserve"> Maths Hub (</w:t>
      </w:r>
      <w:r w:rsidRPr="0002460A">
        <w:rPr>
          <w:rFonts w:cs="Arial"/>
          <w:sz w:val="20"/>
          <w:szCs w:val="20"/>
          <w:shd w:val="clear" w:color="auto" w:fill="FFFFFF"/>
        </w:rPr>
        <w:t>St John the Baptist</w:t>
      </w:r>
      <w:r>
        <w:rPr>
          <w:rFonts w:cs="Arial"/>
          <w:sz w:val="20"/>
          <w:szCs w:val="20"/>
          <w:shd w:val="clear" w:color="auto" w:fill="FFFFFF"/>
        </w:rPr>
        <w:t xml:space="preserve"> Catholic Comprehensive</w:t>
      </w:r>
      <w:r w:rsidRPr="0002460A">
        <w:rPr>
          <w:rFonts w:cs="Arial"/>
          <w:sz w:val="20"/>
          <w:szCs w:val="20"/>
          <w:shd w:val="clear" w:color="auto" w:fill="FFFFFF"/>
        </w:rPr>
        <w:t xml:space="preserve"> School, </w:t>
      </w:r>
      <w:proofErr w:type="spellStart"/>
      <w:r w:rsidRPr="0002460A">
        <w:rPr>
          <w:rFonts w:cs="Arial"/>
          <w:sz w:val="20"/>
          <w:szCs w:val="20"/>
          <w:shd w:val="clear" w:color="auto" w:fill="FFFFFF"/>
        </w:rPr>
        <w:t>Woking</w:t>
      </w:r>
      <w:proofErr w:type="spellEnd"/>
      <w:r w:rsidRPr="0002460A">
        <w:rPr>
          <w:rFonts w:cs="Arial"/>
          <w:sz w:val="20"/>
          <w:szCs w:val="20"/>
          <w:shd w:val="clear" w:color="auto" w:fill="FFFFFF"/>
        </w:rPr>
        <w:t>)</w:t>
      </w:r>
    </w:p>
    <w:p w:rsidR="004D439A" w:rsidRPr="0002460A" w:rsidRDefault="004D439A" w:rsidP="004D439A">
      <w:pPr>
        <w:rPr>
          <w:rFonts w:cs="Arial"/>
          <w:sz w:val="20"/>
          <w:szCs w:val="20"/>
        </w:rPr>
      </w:pPr>
      <w:proofErr w:type="spellStart"/>
      <w:r w:rsidRPr="0002460A">
        <w:rPr>
          <w:rFonts w:cs="Arial"/>
          <w:color w:val="44546A" w:themeColor="text2"/>
          <w:sz w:val="20"/>
          <w:szCs w:val="20"/>
        </w:rPr>
        <w:t>Solent</w:t>
      </w:r>
      <w:proofErr w:type="spellEnd"/>
      <w:r w:rsidRPr="0002460A">
        <w:rPr>
          <w:rFonts w:cs="Arial"/>
          <w:color w:val="44546A" w:themeColor="text2"/>
          <w:sz w:val="20"/>
          <w:szCs w:val="20"/>
        </w:rPr>
        <w:t xml:space="preserve">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r w:rsidRPr="0002460A">
        <w:rPr>
          <w:rFonts w:cs="Arial"/>
          <w:sz w:val="20"/>
          <w:szCs w:val="20"/>
          <w:shd w:val="clear" w:color="auto" w:fill="FFFFFF"/>
        </w:rPr>
        <w:t xml:space="preserve">The Mary Rose </w:t>
      </w:r>
      <w:r>
        <w:rPr>
          <w:rFonts w:cs="Arial"/>
          <w:sz w:val="20"/>
          <w:szCs w:val="20"/>
          <w:shd w:val="clear" w:color="auto" w:fill="FFFFFF"/>
        </w:rPr>
        <w:t>Academy</w:t>
      </w:r>
      <w:r w:rsidRPr="0002460A">
        <w:rPr>
          <w:rFonts w:cs="Arial"/>
          <w:sz w:val="20"/>
          <w:szCs w:val="20"/>
          <w:shd w:val="clear" w:color="auto" w:fill="FFFFFF"/>
        </w:rPr>
        <w:t>, Portsmouth)</w:t>
      </w:r>
    </w:p>
    <w:p w:rsidR="004D439A" w:rsidRPr="0002460A" w:rsidRDefault="004D439A" w:rsidP="004D439A">
      <w:pPr>
        <w:rPr>
          <w:rFonts w:cs="Arial"/>
          <w:sz w:val="20"/>
          <w:szCs w:val="20"/>
        </w:rPr>
      </w:pPr>
      <w:r w:rsidRPr="0002460A">
        <w:rPr>
          <w:rFonts w:cs="Arial"/>
          <w:color w:val="44546A" w:themeColor="text2"/>
          <w:sz w:val="20"/>
          <w:szCs w:val="20"/>
        </w:rPr>
        <w:t>Sussex Maths Hub</w:t>
      </w:r>
      <w:r w:rsidRPr="0002460A">
        <w:rPr>
          <w:rFonts w:cs="Arial"/>
          <w:sz w:val="20"/>
          <w:szCs w:val="20"/>
        </w:rPr>
        <w:t xml:space="preserve"> (St Paul’s Catholic College, Burgess Hill)</w:t>
      </w:r>
    </w:p>
    <w:p w:rsidR="004D439A" w:rsidRPr="0002460A" w:rsidRDefault="004D439A" w:rsidP="004D439A">
      <w:pPr>
        <w:spacing w:after="120"/>
        <w:rPr>
          <w:rFonts w:cs="Arial"/>
          <w:sz w:val="20"/>
          <w:szCs w:val="20"/>
        </w:rPr>
      </w:pPr>
      <w:r w:rsidRPr="0002460A">
        <w:rPr>
          <w:rFonts w:cs="Arial"/>
          <w:color w:val="44546A" w:themeColor="text2"/>
          <w:sz w:val="20"/>
          <w:szCs w:val="20"/>
        </w:rPr>
        <w:t>Kent and Medway Maths Hub</w:t>
      </w:r>
      <w:r w:rsidRPr="0002460A">
        <w:rPr>
          <w:rFonts w:cs="Arial"/>
          <w:sz w:val="20"/>
          <w:szCs w:val="20"/>
        </w:rPr>
        <w:t xml:space="preserve"> (</w:t>
      </w:r>
      <w:r>
        <w:rPr>
          <w:rFonts w:cs="Arial"/>
          <w:sz w:val="20"/>
          <w:szCs w:val="20"/>
          <w:shd w:val="clear" w:color="auto" w:fill="FFFFFF"/>
        </w:rPr>
        <w:t>Sir Joseph Williamson’s Mathematical School, Rochester</w:t>
      </w:r>
      <w:r w:rsidRPr="0002460A">
        <w:rPr>
          <w:rFonts w:cs="Arial"/>
          <w:sz w:val="20"/>
          <w:szCs w:val="20"/>
          <w:shd w:val="clear" w:color="auto" w:fill="FFFFFF"/>
        </w:rPr>
        <w:t>)</w:t>
      </w:r>
    </w:p>
    <w:p w:rsidR="004D439A" w:rsidRPr="0002460A" w:rsidRDefault="004D439A" w:rsidP="004D439A">
      <w:pPr>
        <w:rPr>
          <w:rFonts w:cs="Arial"/>
          <w:b/>
          <w:sz w:val="20"/>
          <w:szCs w:val="20"/>
        </w:rPr>
      </w:pPr>
      <w:r w:rsidRPr="0002460A">
        <w:rPr>
          <w:rFonts w:cs="Arial"/>
          <w:b/>
          <w:sz w:val="20"/>
          <w:szCs w:val="20"/>
        </w:rPr>
        <w:t>London Region:</w:t>
      </w:r>
    </w:p>
    <w:p w:rsidR="004D439A" w:rsidRPr="0002460A" w:rsidRDefault="004D439A" w:rsidP="004D439A">
      <w:pPr>
        <w:rPr>
          <w:rFonts w:cs="Arial"/>
          <w:sz w:val="20"/>
          <w:szCs w:val="20"/>
        </w:rPr>
      </w:pPr>
      <w:r w:rsidRPr="0002460A">
        <w:rPr>
          <w:rFonts w:cs="Arial"/>
          <w:color w:val="44546A" w:themeColor="text2"/>
          <w:sz w:val="20"/>
          <w:szCs w:val="20"/>
        </w:rPr>
        <w:t>London North East Maths Hub</w:t>
      </w:r>
      <w:r w:rsidRPr="0002460A">
        <w:rPr>
          <w:rFonts w:cs="Arial"/>
          <w:sz w:val="20"/>
          <w:szCs w:val="20"/>
        </w:rPr>
        <w:t xml:space="preserve"> (</w:t>
      </w:r>
      <w:r w:rsidRPr="0002460A">
        <w:rPr>
          <w:rFonts w:cs="Arial"/>
          <w:sz w:val="20"/>
          <w:szCs w:val="20"/>
          <w:shd w:val="clear" w:color="auto" w:fill="FFFFFF"/>
        </w:rPr>
        <w:t>Elmhurst Primary School,</w:t>
      </w:r>
      <w:r>
        <w:rPr>
          <w:rFonts w:cs="Arial"/>
          <w:sz w:val="20"/>
          <w:szCs w:val="20"/>
          <w:shd w:val="clear" w:color="auto" w:fill="FFFFFF"/>
        </w:rPr>
        <w:t xml:space="preserve"> </w:t>
      </w:r>
      <w:proofErr w:type="spellStart"/>
      <w:r>
        <w:rPr>
          <w:rFonts w:cs="Arial"/>
          <w:sz w:val="20"/>
          <w:szCs w:val="20"/>
          <w:shd w:val="clear" w:color="auto" w:fill="FFFFFF"/>
        </w:rPr>
        <w:t>Newham</w:t>
      </w:r>
      <w:proofErr w:type="spellEnd"/>
      <w:r w:rsidRPr="0002460A">
        <w:rPr>
          <w:rFonts w:cs="Arial"/>
          <w:sz w:val="20"/>
          <w:szCs w:val="20"/>
          <w:shd w:val="clear" w:color="auto" w:fill="FFFFFF"/>
        </w:rPr>
        <w:t>)</w:t>
      </w:r>
    </w:p>
    <w:p w:rsidR="004D439A" w:rsidRPr="0002460A" w:rsidRDefault="004D439A" w:rsidP="004D439A">
      <w:pPr>
        <w:rPr>
          <w:rFonts w:cs="Arial"/>
          <w:sz w:val="20"/>
          <w:szCs w:val="20"/>
        </w:rPr>
      </w:pPr>
      <w:r w:rsidRPr="0002460A">
        <w:rPr>
          <w:rFonts w:cs="Arial"/>
          <w:color w:val="44546A" w:themeColor="text2"/>
          <w:sz w:val="20"/>
          <w:szCs w:val="20"/>
        </w:rPr>
        <w:t>London Central and NW Maths Hub</w:t>
      </w:r>
      <w:r w:rsidRPr="0002460A">
        <w:rPr>
          <w:rFonts w:cs="Arial"/>
          <w:sz w:val="20"/>
          <w:szCs w:val="20"/>
        </w:rPr>
        <w:t xml:space="preserve"> (</w:t>
      </w:r>
      <w:r w:rsidRPr="0002460A">
        <w:rPr>
          <w:rFonts w:cs="Arial"/>
          <w:sz w:val="20"/>
          <w:szCs w:val="20"/>
          <w:shd w:val="clear" w:color="auto" w:fill="FFFFFF"/>
        </w:rPr>
        <w:t>The St. Marylebone CE School</w:t>
      </w:r>
      <w:r>
        <w:rPr>
          <w:rFonts w:cs="Arial"/>
          <w:sz w:val="20"/>
          <w:szCs w:val="20"/>
          <w:shd w:val="clear" w:color="auto" w:fill="FFFFFF"/>
        </w:rPr>
        <w:t>, Westminster</w:t>
      </w:r>
      <w:r w:rsidRPr="0002460A">
        <w:rPr>
          <w:rFonts w:cs="Arial"/>
          <w:sz w:val="20"/>
          <w:szCs w:val="20"/>
          <w:shd w:val="clear" w:color="auto" w:fill="FFFFFF"/>
        </w:rPr>
        <w:t>)</w:t>
      </w:r>
    </w:p>
    <w:p w:rsidR="004D439A" w:rsidRPr="0002460A" w:rsidRDefault="004D439A" w:rsidP="004D439A">
      <w:pPr>
        <w:rPr>
          <w:rFonts w:cs="Arial"/>
          <w:sz w:val="20"/>
          <w:szCs w:val="20"/>
        </w:rPr>
      </w:pPr>
      <w:r w:rsidRPr="0002460A">
        <w:rPr>
          <w:rFonts w:cs="Arial"/>
          <w:color w:val="44546A" w:themeColor="text2"/>
          <w:sz w:val="20"/>
          <w:szCs w:val="20"/>
        </w:rPr>
        <w:t>London Central and West Maths Hub</w:t>
      </w:r>
      <w:r w:rsidRPr="0002460A">
        <w:rPr>
          <w:rFonts w:cs="Arial"/>
          <w:sz w:val="20"/>
          <w:szCs w:val="20"/>
        </w:rPr>
        <w:t xml:space="preserve"> (</w:t>
      </w:r>
      <w:r w:rsidRPr="0002460A">
        <w:rPr>
          <w:rFonts w:cs="Arial"/>
          <w:sz w:val="20"/>
          <w:szCs w:val="20"/>
          <w:shd w:val="clear" w:color="auto" w:fill="FFFFFF"/>
        </w:rPr>
        <w:t>Fox Primary School,</w:t>
      </w:r>
      <w:r>
        <w:rPr>
          <w:rFonts w:cs="Arial"/>
          <w:sz w:val="20"/>
          <w:szCs w:val="20"/>
          <w:shd w:val="clear" w:color="auto" w:fill="FFFFFF"/>
        </w:rPr>
        <w:t xml:space="preserve"> Kensington &amp; Chelsea</w:t>
      </w:r>
      <w:r w:rsidRPr="0002460A">
        <w:rPr>
          <w:rFonts w:cs="Arial"/>
          <w:sz w:val="20"/>
          <w:szCs w:val="20"/>
          <w:shd w:val="clear" w:color="auto" w:fill="FFFFFF"/>
        </w:rPr>
        <w:t>)</w:t>
      </w:r>
    </w:p>
    <w:p w:rsidR="004D439A" w:rsidRPr="0002460A" w:rsidRDefault="004D439A" w:rsidP="004D439A">
      <w:pPr>
        <w:rPr>
          <w:rFonts w:cs="Arial"/>
          <w:sz w:val="20"/>
          <w:szCs w:val="20"/>
        </w:rPr>
      </w:pPr>
      <w:r w:rsidRPr="0002460A">
        <w:rPr>
          <w:rFonts w:cs="Arial"/>
          <w:color w:val="44546A" w:themeColor="text2"/>
          <w:sz w:val="20"/>
          <w:szCs w:val="20"/>
        </w:rPr>
        <w:t>London South West Maths Hub</w:t>
      </w:r>
      <w:r w:rsidRPr="0002460A">
        <w:rPr>
          <w:rFonts w:cs="Arial"/>
          <w:sz w:val="20"/>
          <w:szCs w:val="20"/>
        </w:rPr>
        <w:t xml:space="preserve"> (</w:t>
      </w:r>
      <w:r w:rsidRPr="0002460A">
        <w:rPr>
          <w:rFonts w:cs="Arial"/>
          <w:sz w:val="20"/>
          <w:szCs w:val="20"/>
          <w:shd w:val="clear" w:color="auto" w:fill="FFFFFF"/>
        </w:rPr>
        <w:t>Belleville Primary School</w:t>
      </w:r>
      <w:r>
        <w:rPr>
          <w:rFonts w:cs="Arial"/>
          <w:sz w:val="20"/>
          <w:szCs w:val="20"/>
          <w:shd w:val="clear" w:color="auto" w:fill="FFFFFF"/>
        </w:rPr>
        <w:t xml:space="preserve"> with Chesterton Primary School</w:t>
      </w:r>
      <w:r w:rsidRPr="0002460A">
        <w:rPr>
          <w:rFonts w:cs="Arial"/>
          <w:sz w:val="20"/>
          <w:szCs w:val="20"/>
          <w:shd w:val="clear" w:color="auto" w:fill="FFFFFF"/>
        </w:rPr>
        <w:t xml:space="preserve">, </w:t>
      </w:r>
      <w:proofErr w:type="spellStart"/>
      <w:r w:rsidRPr="0002460A">
        <w:rPr>
          <w:rFonts w:cs="Arial"/>
          <w:sz w:val="20"/>
          <w:szCs w:val="20"/>
          <w:shd w:val="clear" w:color="auto" w:fill="FFFFFF"/>
        </w:rPr>
        <w:t>Wandsworth</w:t>
      </w:r>
      <w:proofErr w:type="spellEnd"/>
      <w:r w:rsidRPr="0002460A">
        <w:rPr>
          <w:rFonts w:cs="Arial"/>
          <w:sz w:val="20"/>
          <w:szCs w:val="20"/>
          <w:shd w:val="clear" w:color="auto" w:fill="FFFFFF"/>
        </w:rPr>
        <w:t>)</w:t>
      </w:r>
    </w:p>
    <w:p w:rsidR="004D439A" w:rsidRPr="0002460A" w:rsidRDefault="004D439A" w:rsidP="004D439A">
      <w:pPr>
        <w:rPr>
          <w:rFonts w:cs="Arial"/>
          <w:sz w:val="20"/>
          <w:szCs w:val="20"/>
        </w:rPr>
      </w:pPr>
      <w:r w:rsidRPr="0002460A">
        <w:rPr>
          <w:rFonts w:cs="Arial"/>
          <w:color w:val="44546A" w:themeColor="text2"/>
          <w:sz w:val="20"/>
          <w:szCs w:val="20"/>
        </w:rPr>
        <w:t>London Thames Maths Hub</w:t>
      </w:r>
      <w:r w:rsidRPr="0002460A">
        <w:rPr>
          <w:rFonts w:cs="Arial"/>
          <w:sz w:val="20"/>
          <w:szCs w:val="20"/>
        </w:rPr>
        <w:t xml:space="preserve"> (Harris</w:t>
      </w:r>
      <w:r>
        <w:rPr>
          <w:rFonts w:cs="Arial"/>
          <w:sz w:val="20"/>
          <w:szCs w:val="20"/>
        </w:rPr>
        <w:t xml:space="preserve"> Federation, Croydon</w:t>
      </w:r>
      <w:r w:rsidRPr="0002460A">
        <w:rPr>
          <w:rFonts w:cs="Arial"/>
          <w:sz w:val="20"/>
          <w:szCs w:val="20"/>
        </w:rPr>
        <w:t>)</w:t>
      </w:r>
    </w:p>
    <w:p w:rsidR="004D439A" w:rsidRPr="00DA2B2A" w:rsidRDefault="004D439A" w:rsidP="004D439A">
      <w:pPr>
        <w:rPr>
          <w:i/>
          <w:sz w:val="20"/>
          <w:szCs w:val="20"/>
          <w:lang w:val="en-GB"/>
        </w:rPr>
      </w:pPr>
      <w:r w:rsidRPr="0002460A">
        <w:rPr>
          <w:rFonts w:cs="Arial"/>
          <w:color w:val="44546A" w:themeColor="text2"/>
          <w:sz w:val="20"/>
          <w:szCs w:val="20"/>
        </w:rPr>
        <w:t xml:space="preserve">London South East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Pr>
          <w:rFonts w:cs="Arial"/>
          <w:sz w:val="20"/>
          <w:szCs w:val="20"/>
          <w:shd w:val="clear" w:color="auto" w:fill="FFFFFF"/>
        </w:rPr>
        <w:t>Redriff</w:t>
      </w:r>
      <w:proofErr w:type="spellEnd"/>
      <w:r>
        <w:rPr>
          <w:rFonts w:cs="Arial"/>
          <w:sz w:val="20"/>
          <w:szCs w:val="20"/>
          <w:shd w:val="clear" w:color="auto" w:fill="FFFFFF"/>
        </w:rPr>
        <w:t xml:space="preserve"> Primary School with </w:t>
      </w:r>
      <w:r w:rsidRPr="0002460A">
        <w:rPr>
          <w:rFonts w:cs="Arial"/>
          <w:sz w:val="20"/>
          <w:szCs w:val="20"/>
          <w:shd w:val="clear" w:color="auto" w:fill="FFFFFF"/>
        </w:rPr>
        <w:t xml:space="preserve">City of London Academy, </w:t>
      </w:r>
      <w:proofErr w:type="spellStart"/>
      <w:r w:rsidRPr="0002460A">
        <w:rPr>
          <w:rFonts w:cs="Arial"/>
          <w:sz w:val="20"/>
          <w:szCs w:val="20"/>
          <w:shd w:val="clear" w:color="auto" w:fill="FFFFFF"/>
        </w:rPr>
        <w:t>Southwark</w:t>
      </w:r>
      <w:proofErr w:type="spellEnd"/>
      <w:r w:rsidRPr="0002460A">
        <w:rPr>
          <w:rFonts w:cs="Arial"/>
          <w:sz w:val="20"/>
          <w:szCs w:val="20"/>
          <w:shd w:val="clear" w:color="auto" w:fill="FFFFFF"/>
        </w:rPr>
        <w:t>)</w:t>
      </w:r>
    </w:p>
    <w:p w:rsidR="00767ADF" w:rsidRPr="00E9475C" w:rsidRDefault="00767ADF">
      <w:pPr>
        <w:rPr>
          <w:lang w:val="en-GB"/>
        </w:rPr>
      </w:pPr>
    </w:p>
    <w:sectPr w:rsidR="00767ADF" w:rsidRPr="00E9475C" w:rsidSect="00F50401">
      <w:head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E39" w:rsidRDefault="00841E39" w:rsidP="009F36C1">
      <w:r>
        <w:separator/>
      </w:r>
    </w:p>
  </w:endnote>
  <w:endnote w:type="continuationSeparator" w:id="0">
    <w:p w:rsidR="00841E39" w:rsidRDefault="00841E39" w:rsidP="009F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E39" w:rsidRDefault="00841E39" w:rsidP="009F36C1">
      <w:r>
        <w:separator/>
      </w:r>
    </w:p>
  </w:footnote>
  <w:footnote w:type="continuationSeparator" w:id="0">
    <w:p w:rsidR="00841E39" w:rsidRDefault="00841E39" w:rsidP="009F3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C1" w:rsidRDefault="009F36C1" w:rsidP="009F36C1">
    <w:pPr>
      <w:pStyle w:val="Header"/>
      <w:jc w:val="right"/>
    </w:pPr>
    <w:r>
      <w:rPr>
        <w:noProof/>
        <w:lang w:val="en-GB" w:eastAsia="en-GB"/>
      </w:rPr>
      <w:drawing>
        <wp:anchor distT="0" distB="0" distL="114300" distR="114300" simplePos="0" relativeHeight="251659264" behindDoc="1" locked="0" layoutInCell="1" allowOverlap="0" wp14:anchorId="3F45529D" wp14:editId="617F3344">
          <wp:simplePos x="0" y="0"/>
          <wp:positionH relativeFrom="page">
            <wp:posOffset>916305</wp:posOffset>
          </wp:positionH>
          <wp:positionV relativeFrom="page">
            <wp:posOffset>-19050</wp:posOffset>
          </wp:positionV>
          <wp:extent cx="1903730" cy="1276350"/>
          <wp:effectExtent l="0" t="0" r="1270" b="0"/>
          <wp:wrapNone/>
          <wp:docPr id="2" name="Picture 2"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67DE968F" wp14:editId="6142EA80">
          <wp:extent cx="2085975" cy="771525"/>
          <wp:effectExtent l="0" t="0" r="9525" b="9525"/>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p w:rsidR="009F36C1" w:rsidRDefault="009F3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A08"/>
    <w:multiLevelType w:val="hybridMultilevel"/>
    <w:tmpl w:val="B79A32C2"/>
    <w:lvl w:ilvl="0" w:tplc="B45CB94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510FC"/>
    <w:multiLevelType w:val="hybridMultilevel"/>
    <w:tmpl w:val="AE3A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17E18"/>
    <w:multiLevelType w:val="hybridMultilevel"/>
    <w:tmpl w:val="5D5C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15D88"/>
    <w:multiLevelType w:val="hybridMultilevel"/>
    <w:tmpl w:val="EC36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165D7"/>
    <w:multiLevelType w:val="hybridMultilevel"/>
    <w:tmpl w:val="45F8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3931FD"/>
    <w:multiLevelType w:val="hybridMultilevel"/>
    <w:tmpl w:val="A9BCF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D316E9"/>
    <w:multiLevelType w:val="hybridMultilevel"/>
    <w:tmpl w:val="76E4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245FB7"/>
    <w:multiLevelType w:val="hybridMultilevel"/>
    <w:tmpl w:val="6856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E00501"/>
    <w:multiLevelType w:val="hybridMultilevel"/>
    <w:tmpl w:val="7358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FA09BE"/>
    <w:multiLevelType w:val="hybridMultilevel"/>
    <w:tmpl w:val="0462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F462BC"/>
    <w:multiLevelType w:val="hybridMultilevel"/>
    <w:tmpl w:val="0BFA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9"/>
  </w:num>
  <w:num w:numId="5">
    <w:abstractNumId w:val="3"/>
  </w:num>
  <w:num w:numId="6">
    <w:abstractNumId w:val="10"/>
  </w:num>
  <w:num w:numId="7">
    <w:abstractNumId w:val="0"/>
  </w:num>
  <w:num w:numId="8">
    <w:abstractNumId w:val="5"/>
  </w:num>
  <w:num w:numId="9">
    <w:abstractNumId w:val="2"/>
  </w:num>
  <w:num w:numId="10">
    <w:abstractNumId w:val="8"/>
  </w:num>
  <w:num w:numId="11">
    <w:abstractNumId w:val="13"/>
  </w:num>
  <w:num w:numId="12">
    <w:abstractNumId w:val="7"/>
  </w:num>
  <w:num w:numId="13">
    <w:abstractNumId w:val="1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5C"/>
    <w:rsid w:val="00006242"/>
    <w:rsid w:val="00043E7F"/>
    <w:rsid w:val="000606B8"/>
    <w:rsid w:val="000766D5"/>
    <w:rsid w:val="00094A76"/>
    <w:rsid w:val="000A75AD"/>
    <w:rsid w:val="000D087E"/>
    <w:rsid w:val="00111DA3"/>
    <w:rsid w:val="00125F48"/>
    <w:rsid w:val="00166415"/>
    <w:rsid w:val="001753D3"/>
    <w:rsid w:val="00182229"/>
    <w:rsid w:val="001964C1"/>
    <w:rsid w:val="001A59C1"/>
    <w:rsid w:val="001A6339"/>
    <w:rsid w:val="001D1EE4"/>
    <w:rsid w:val="001D39F3"/>
    <w:rsid w:val="001E36FA"/>
    <w:rsid w:val="00211E21"/>
    <w:rsid w:val="00233187"/>
    <w:rsid w:val="00266B45"/>
    <w:rsid w:val="002722F4"/>
    <w:rsid w:val="00287A31"/>
    <w:rsid w:val="002B223B"/>
    <w:rsid w:val="002C36B2"/>
    <w:rsid w:val="002F6134"/>
    <w:rsid w:val="003016DD"/>
    <w:rsid w:val="00320EAC"/>
    <w:rsid w:val="0035766A"/>
    <w:rsid w:val="003D6E14"/>
    <w:rsid w:val="003E635A"/>
    <w:rsid w:val="00415D9E"/>
    <w:rsid w:val="00427C60"/>
    <w:rsid w:val="00432051"/>
    <w:rsid w:val="00436069"/>
    <w:rsid w:val="004439D6"/>
    <w:rsid w:val="0047664B"/>
    <w:rsid w:val="00482551"/>
    <w:rsid w:val="00494561"/>
    <w:rsid w:val="004D439A"/>
    <w:rsid w:val="004D5CCD"/>
    <w:rsid w:val="004F6389"/>
    <w:rsid w:val="00505FE0"/>
    <w:rsid w:val="00521AFC"/>
    <w:rsid w:val="00551C73"/>
    <w:rsid w:val="005552AC"/>
    <w:rsid w:val="005A10BE"/>
    <w:rsid w:val="005D6804"/>
    <w:rsid w:val="00610D25"/>
    <w:rsid w:val="006264E8"/>
    <w:rsid w:val="00681B5C"/>
    <w:rsid w:val="006F12C7"/>
    <w:rsid w:val="006F3E86"/>
    <w:rsid w:val="00700D56"/>
    <w:rsid w:val="00710E2C"/>
    <w:rsid w:val="00723697"/>
    <w:rsid w:val="007258CD"/>
    <w:rsid w:val="00734058"/>
    <w:rsid w:val="0074238A"/>
    <w:rsid w:val="00767ADF"/>
    <w:rsid w:val="008043B3"/>
    <w:rsid w:val="00841E39"/>
    <w:rsid w:val="0085061B"/>
    <w:rsid w:val="00862BE6"/>
    <w:rsid w:val="00871555"/>
    <w:rsid w:val="00882927"/>
    <w:rsid w:val="00886E82"/>
    <w:rsid w:val="008C6299"/>
    <w:rsid w:val="00911988"/>
    <w:rsid w:val="0092583C"/>
    <w:rsid w:val="00954B87"/>
    <w:rsid w:val="009655D8"/>
    <w:rsid w:val="00973F96"/>
    <w:rsid w:val="00975DCF"/>
    <w:rsid w:val="009B253A"/>
    <w:rsid w:val="009D1997"/>
    <w:rsid w:val="009E70EA"/>
    <w:rsid w:val="009F05B5"/>
    <w:rsid w:val="009F36C1"/>
    <w:rsid w:val="00A421C5"/>
    <w:rsid w:val="00A531D5"/>
    <w:rsid w:val="00A64B72"/>
    <w:rsid w:val="00A80BC7"/>
    <w:rsid w:val="00AC2EFA"/>
    <w:rsid w:val="00AC612A"/>
    <w:rsid w:val="00AF70FA"/>
    <w:rsid w:val="00B1787D"/>
    <w:rsid w:val="00B6370C"/>
    <w:rsid w:val="00BC5C44"/>
    <w:rsid w:val="00BE2A75"/>
    <w:rsid w:val="00BF31FE"/>
    <w:rsid w:val="00C32E1B"/>
    <w:rsid w:val="00C36384"/>
    <w:rsid w:val="00C41F82"/>
    <w:rsid w:val="00C43BB4"/>
    <w:rsid w:val="00C5472A"/>
    <w:rsid w:val="00C60DB0"/>
    <w:rsid w:val="00C67ED5"/>
    <w:rsid w:val="00C70D12"/>
    <w:rsid w:val="00C765D1"/>
    <w:rsid w:val="00C76CE1"/>
    <w:rsid w:val="00C93C27"/>
    <w:rsid w:val="00CC2C21"/>
    <w:rsid w:val="00D51113"/>
    <w:rsid w:val="00D94DC9"/>
    <w:rsid w:val="00E03CC1"/>
    <w:rsid w:val="00E0715E"/>
    <w:rsid w:val="00E10FA9"/>
    <w:rsid w:val="00E13668"/>
    <w:rsid w:val="00E14D92"/>
    <w:rsid w:val="00E16FE9"/>
    <w:rsid w:val="00E35034"/>
    <w:rsid w:val="00E52E6C"/>
    <w:rsid w:val="00E9475C"/>
    <w:rsid w:val="00EF23DA"/>
    <w:rsid w:val="00EF6531"/>
    <w:rsid w:val="00F106D6"/>
    <w:rsid w:val="00F4409E"/>
    <w:rsid w:val="00F50401"/>
    <w:rsid w:val="00F97C2C"/>
    <w:rsid w:val="00FB0CEC"/>
    <w:rsid w:val="00FC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basedOn w:val="Normal"/>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basedOn w:val="Normal"/>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hubs.org.uk/find-your-hu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8398</Characters>
  <Application>Microsoft Office Word</Application>
  <DocSecurity>4</DocSecurity>
  <Lines>1049</Lines>
  <Paragraphs>524</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Wilne</dc:creator>
  <cp:lastModifiedBy>HBurton</cp:lastModifiedBy>
  <cp:revision>2</cp:revision>
  <dcterms:created xsi:type="dcterms:W3CDTF">2016-09-19T12:15:00Z</dcterms:created>
  <dcterms:modified xsi:type="dcterms:W3CDTF">2016-09-19T12:15:00Z</dcterms:modified>
</cp:coreProperties>
</file>